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r w:rsidRPr="00AC2ADF">
        <w:rPr>
          <w:rFonts w:ascii="Calibri" w:eastAsia="Calibri" w:hAnsi="Calibri" w:cs="Trebuchet MS"/>
          <w:b/>
          <w:bCs/>
          <w:color w:val="1F497D" w:themeColor="text2"/>
          <w:spacing w:val="-6"/>
          <w:sz w:val="28"/>
          <w:szCs w:val="28"/>
          <w:lang w:eastAsia="pt-PT"/>
        </w:rPr>
        <w:t>Anexo VII</w:t>
      </w:r>
      <w:r w:rsidR="00AC2ADF">
        <w:rPr>
          <w:rFonts w:ascii="Calibri" w:eastAsia="Calibri" w:hAnsi="Calibri" w:cs="Trebuchet MS"/>
          <w:b/>
          <w:bCs/>
          <w:color w:val="1F497D" w:themeColor="text2"/>
          <w:spacing w:val="-6"/>
          <w:sz w:val="28"/>
          <w:szCs w:val="28"/>
          <w:lang w:eastAsia="pt-PT"/>
        </w:rPr>
        <w:t xml:space="preserve"> - </w:t>
      </w:r>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bookmarkStart w:id="0" w:name="_GoBack"/>
            <w:bookmarkEnd w:id="0"/>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w:t>
            </w:r>
            <w:r w:rsidRPr="002510F2">
              <w:rPr>
                <w:rFonts w:ascii="Calibri Light" w:hAnsi="Calibri Light" w:cs="Arial"/>
                <w:color w:val="000000"/>
                <w:sz w:val="16"/>
                <w:szCs w:val="16"/>
                <w:lang w:eastAsia="en-GB"/>
              </w:rPr>
              <w:lastRenderedPageBreak/>
              <w:t>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tcBorders>
              <w:bottom w:val="single" w:sz="4" w:space="0" w:color="A6A6A6" w:themeColor="background1" w:themeShade="A6"/>
            </w:tcBorders>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lastRenderedPageBreak/>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9E0169">
        <w:tc>
          <w:tcPr>
            <w:tcW w:w="409" w:type="pct"/>
            <w:shd w:val="clear" w:color="auto" w:fill="auto"/>
            <w:vAlign w:val="center"/>
          </w:tcPr>
          <w:p w:rsidR="00C526CE" w:rsidRPr="002510F2" w:rsidRDefault="00C526CE" w:rsidP="009E0169">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default" r:id="rId35"/>
      <w:footerReference w:type="default" r:id="rId36"/>
      <w:headerReference w:type="first" r:id="rId37"/>
      <w:footerReference w:type="first" r:id="rId38"/>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372479"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mc:AlternateContent>
              <mc:Choice Requires="wps">
                <w:drawing>
                  <wp:anchor distT="0" distB="0" distL="114300" distR="114300" simplePos="0" relativeHeight="251673600" behindDoc="0" locked="0" layoutInCell="1" allowOverlap="1" wp14:anchorId="4E767AA8" wp14:editId="324C60AA">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67AA8"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v:textbox>
                  </v:shape>
                </w:pict>
              </mc:Fallback>
            </mc:AlternateContent>
          </w: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72479"/>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169"/>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fontTable" Target="fontTable.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footer" Target="footer1.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 Id="rId8" Type="http://schemas.openxmlformats.org/officeDocument/2006/relationships/hyperlink" Target="http://www.ifdr.pt/ResourcesUser/Noticias/Documentos/2014_Consulta_Publica_AAE/Decreto_Lei_232_2007.pdf"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0C0F-10B1-4413-B45D-A35B946F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2065</Words>
  <Characters>11152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N2020</cp:lastModifiedBy>
  <cp:revision>12</cp:revision>
  <cp:lastPrinted>2015-09-08T17:20:00Z</cp:lastPrinted>
  <dcterms:created xsi:type="dcterms:W3CDTF">2017-08-22T14:09:00Z</dcterms:created>
  <dcterms:modified xsi:type="dcterms:W3CDTF">2019-12-17T16:50:00Z</dcterms:modified>
</cp:coreProperties>
</file>