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47B" w:rsidRPr="00523597" w:rsidRDefault="009B2A69" w:rsidP="009B2A69">
      <w:pPr>
        <w:jc w:val="center"/>
        <w:rPr>
          <w:rFonts w:ascii="Calibri Light" w:hAnsi="Calibri Light"/>
          <w:b/>
          <w:sz w:val="24"/>
          <w:szCs w:val="24"/>
        </w:rPr>
      </w:pPr>
      <w:r w:rsidRPr="00523597">
        <w:rPr>
          <w:rFonts w:ascii="Calibri Light" w:hAnsi="Calibri Light"/>
          <w:b/>
          <w:sz w:val="24"/>
          <w:szCs w:val="24"/>
        </w:rPr>
        <w:t>ANEXO 1</w:t>
      </w:r>
    </w:p>
    <w:p w:rsidR="00573E56" w:rsidRPr="00523597" w:rsidRDefault="00530B4E" w:rsidP="005D4A4C">
      <w:pPr>
        <w:jc w:val="center"/>
        <w:rPr>
          <w:rFonts w:ascii="Calibri Light" w:hAnsi="Calibri Light"/>
          <w:b/>
          <w:sz w:val="24"/>
          <w:szCs w:val="24"/>
        </w:rPr>
      </w:pPr>
      <w:r w:rsidRPr="00523597">
        <w:rPr>
          <w:rFonts w:ascii="Calibri Light" w:hAnsi="Calibri Light"/>
          <w:b/>
          <w:sz w:val="24"/>
          <w:szCs w:val="24"/>
        </w:rPr>
        <w:t>Metodologia para a dete</w:t>
      </w:r>
      <w:r w:rsidR="005D4A4C" w:rsidRPr="00523597">
        <w:rPr>
          <w:rFonts w:ascii="Calibri Light" w:hAnsi="Calibri Light"/>
          <w:b/>
          <w:sz w:val="24"/>
          <w:szCs w:val="24"/>
        </w:rPr>
        <w:t>rminação do Mérito dos Projetos</w:t>
      </w:r>
    </w:p>
    <w:p w:rsidR="005D4A4C" w:rsidRPr="005D4A4C" w:rsidRDefault="005D4A4C" w:rsidP="005D4A4C">
      <w:pPr>
        <w:spacing w:after="160"/>
        <w:rPr>
          <w:rFonts w:ascii="Calibri" w:eastAsia="Calibri" w:hAnsi="Calibri" w:cs="Times New Roman"/>
        </w:rPr>
      </w:pPr>
    </w:p>
    <w:p w:rsidR="005D4A4C" w:rsidRPr="005D4A4C" w:rsidRDefault="005D4A4C" w:rsidP="005D4A4C">
      <w:pPr>
        <w:spacing w:after="160" w:line="259" w:lineRule="auto"/>
        <w:contextualSpacing/>
        <w:outlineLvl w:val="0"/>
        <w:rPr>
          <w:rFonts w:ascii="Calibri Light" w:eastAsia="Calibri" w:hAnsi="Calibri Light" w:cs="Times New Roman"/>
          <w:sz w:val="24"/>
          <w:szCs w:val="24"/>
        </w:rPr>
      </w:pPr>
      <w:bookmarkStart w:id="0" w:name="_Toc485136855"/>
      <w:r w:rsidRPr="005D4A4C">
        <w:rPr>
          <w:rFonts w:ascii="Calibri Light" w:eastAsia="Calibri" w:hAnsi="Calibri Light" w:cs="Times New Roman"/>
          <w:sz w:val="24"/>
          <w:szCs w:val="24"/>
        </w:rPr>
        <w:t>Tipologias de Operaç</w:t>
      </w:r>
      <w:bookmarkEnd w:id="0"/>
      <w:r w:rsidRPr="005D4A4C">
        <w:rPr>
          <w:rFonts w:ascii="Calibri Light" w:eastAsia="Calibri" w:hAnsi="Calibri Light" w:cs="Times New Roman"/>
          <w:sz w:val="24"/>
          <w:szCs w:val="24"/>
        </w:rPr>
        <w:t>ão:</w:t>
      </w:r>
    </w:p>
    <w:p w:rsidR="005D4A4C" w:rsidRPr="005D4A4C" w:rsidRDefault="005D4A4C" w:rsidP="005D4A4C">
      <w:pPr>
        <w:numPr>
          <w:ilvl w:val="0"/>
          <w:numId w:val="42"/>
        </w:numPr>
        <w:spacing w:before="120" w:after="120" w:line="259" w:lineRule="auto"/>
        <w:ind w:left="714" w:hanging="357"/>
        <w:contextualSpacing/>
        <w:jc w:val="both"/>
        <w:rPr>
          <w:rFonts w:ascii="Calibri Light" w:eastAsia="Calibri" w:hAnsi="Calibri Light" w:cs="Times New Roman"/>
          <w:sz w:val="24"/>
          <w:szCs w:val="24"/>
        </w:rPr>
      </w:pPr>
      <w:r w:rsidRPr="005D4A4C">
        <w:rPr>
          <w:rFonts w:ascii="Calibri Light" w:eastAsia="Calibri" w:hAnsi="Calibri Light" w:cs="Times New Roman"/>
          <w:bCs/>
          <w:iCs/>
          <w:sz w:val="24"/>
          <w:szCs w:val="24"/>
        </w:rPr>
        <w:t>Postos públicos para carregamento de baterias de veículos elétricos</w:t>
      </w:r>
      <w:r w:rsidRPr="005D4A4C">
        <w:rPr>
          <w:rFonts w:ascii="Calibri Light" w:eastAsia="Calibri" w:hAnsi="Calibri Light" w:cs="Times New Roman"/>
          <w:sz w:val="24"/>
          <w:szCs w:val="24"/>
        </w:rPr>
        <w:t>;</w:t>
      </w:r>
    </w:p>
    <w:p w:rsidR="005D4A4C" w:rsidRPr="005D4A4C" w:rsidRDefault="005D4A4C" w:rsidP="005D4A4C">
      <w:pPr>
        <w:numPr>
          <w:ilvl w:val="0"/>
          <w:numId w:val="42"/>
        </w:numPr>
        <w:spacing w:before="120" w:after="120" w:line="259" w:lineRule="auto"/>
        <w:ind w:left="714" w:hanging="357"/>
        <w:contextualSpacing/>
        <w:jc w:val="both"/>
        <w:rPr>
          <w:rFonts w:ascii="Calibri Light" w:eastAsia="Calibri" w:hAnsi="Calibri Light" w:cs="Times New Roman"/>
          <w:sz w:val="24"/>
          <w:szCs w:val="24"/>
        </w:rPr>
      </w:pPr>
      <w:r w:rsidRPr="005D4A4C">
        <w:rPr>
          <w:rFonts w:ascii="Calibri Light" w:eastAsia="Calibri" w:hAnsi="Calibri Light" w:cs="Times New Roman"/>
          <w:bCs/>
          <w:iCs/>
          <w:sz w:val="24"/>
          <w:szCs w:val="24"/>
        </w:rPr>
        <w:t>Sistemas de informação e de apoio ao utilizador da mobilidade elétrica;</w:t>
      </w:r>
    </w:p>
    <w:p w:rsidR="005D4A4C" w:rsidRPr="005D4A4C" w:rsidRDefault="005D4A4C" w:rsidP="00DD6168">
      <w:pPr>
        <w:numPr>
          <w:ilvl w:val="0"/>
          <w:numId w:val="42"/>
        </w:numPr>
        <w:spacing w:before="120" w:after="120" w:line="259" w:lineRule="auto"/>
        <w:ind w:left="714" w:hanging="357"/>
        <w:contextualSpacing/>
        <w:jc w:val="both"/>
        <w:rPr>
          <w:rFonts w:ascii="Calibri Light" w:eastAsia="Calibri" w:hAnsi="Calibri Light" w:cs="Times New Roman"/>
          <w:sz w:val="24"/>
          <w:szCs w:val="24"/>
        </w:rPr>
      </w:pPr>
      <w:r w:rsidRPr="005D4A4C">
        <w:rPr>
          <w:rFonts w:ascii="Calibri Light" w:eastAsia="Calibri" w:hAnsi="Calibri Light" w:cs="Times New Roman"/>
          <w:sz w:val="24"/>
          <w:szCs w:val="24"/>
        </w:rPr>
        <w:t>Ações de sensibilização e divulgação de promoção da mobilidade elétrica.</w:t>
      </w:r>
      <w:r w:rsidRPr="005D4A4C">
        <w:rPr>
          <w:rFonts w:ascii="Calibri Light" w:eastAsia="Calibri" w:hAnsi="Calibri Light" w:cs="Times New Roman"/>
          <w:bCs/>
          <w:iCs/>
          <w:sz w:val="24"/>
          <w:szCs w:val="24"/>
        </w:rPr>
        <w:t xml:space="preserve"> </w:t>
      </w:r>
    </w:p>
    <w:p w:rsidR="005D4A4C" w:rsidRPr="005D4A4C" w:rsidRDefault="005D4A4C" w:rsidP="005D4A4C">
      <w:pPr>
        <w:spacing w:before="120" w:after="120" w:line="259" w:lineRule="auto"/>
        <w:ind w:left="714"/>
        <w:contextualSpacing/>
        <w:jc w:val="both"/>
        <w:rPr>
          <w:rFonts w:ascii="Calibri" w:eastAsia="Calibri" w:hAnsi="Calibri" w:cs="Times New Roman"/>
        </w:rPr>
      </w:pPr>
    </w:p>
    <w:p w:rsidR="00DD6168" w:rsidRPr="009538CF" w:rsidRDefault="00DD6168" w:rsidP="00DD6168">
      <w:pPr>
        <w:jc w:val="both"/>
        <w:rPr>
          <w:rFonts w:ascii="Calibri Light" w:hAnsi="Calibri Light"/>
          <w:sz w:val="24"/>
          <w:szCs w:val="24"/>
        </w:rPr>
      </w:pPr>
      <w:r w:rsidRPr="009538CF">
        <w:rPr>
          <w:rFonts w:ascii="Calibri Light" w:hAnsi="Calibri Light"/>
          <w:sz w:val="24"/>
          <w:szCs w:val="24"/>
        </w:rPr>
        <w:t>O Mérito dos Projetos (MP) é determinado pela soma ponderada das pontuações parcelares, atribuídas numa escala compreendida entre 1 e 5, para cada um dos critérios, de acordo com a seguinte fórmula:</w:t>
      </w:r>
    </w:p>
    <w:p w:rsidR="00BD0986" w:rsidRPr="009538CF" w:rsidRDefault="00BD0986" w:rsidP="00C627AA">
      <w:pPr>
        <w:jc w:val="center"/>
        <w:rPr>
          <w:rFonts w:ascii="Calibri Light" w:hAnsi="Calibri Light"/>
          <w:b/>
          <w:sz w:val="24"/>
          <w:szCs w:val="24"/>
        </w:rPr>
      </w:pPr>
      <w:r w:rsidRPr="009538CF">
        <w:rPr>
          <w:rFonts w:ascii="Calibri Light" w:hAnsi="Calibri Light"/>
          <w:b/>
          <w:sz w:val="24"/>
          <w:szCs w:val="24"/>
        </w:rPr>
        <w:t>MP</w:t>
      </w:r>
      <w:r w:rsidR="00301504" w:rsidRPr="009538CF">
        <w:rPr>
          <w:rFonts w:ascii="Calibri Light" w:hAnsi="Calibri Light"/>
          <w:sz w:val="24"/>
          <w:szCs w:val="24"/>
        </w:rPr>
        <w:t xml:space="preserve"> = 0,4</w:t>
      </w:r>
      <w:r w:rsidRPr="009538CF">
        <w:rPr>
          <w:rFonts w:ascii="Calibri Light" w:hAnsi="Calibri Light"/>
          <w:b/>
          <w:sz w:val="24"/>
          <w:szCs w:val="24"/>
        </w:rPr>
        <w:t>A</w:t>
      </w:r>
      <w:r w:rsidR="00301504" w:rsidRPr="009538CF">
        <w:rPr>
          <w:rFonts w:ascii="Calibri Light" w:hAnsi="Calibri Light"/>
          <w:sz w:val="24"/>
          <w:szCs w:val="24"/>
        </w:rPr>
        <w:t xml:space="preserve"> + 0,3</w:t>
      </w:r>
      <w:r w:rsidRPr="009538CF">
        <w:rPr>
          <w:rFonts w:ascii="Calibri Light" w:hAnsi="Calibri Light"/>
          <w:b/>
          <w:sz w:val="24"/>
          <w:szCs w:val="24"/>
        </w:rPr>
        <w:t>B</w:t>
      </w:r>
      <w:r w:rsidR="00BC50C8" w:rsidRPr="009538CF">
        <w:rPr>
          <w:rFonts w:ascii="Calibri Light" w:hAnsi="Calibri Light"/>
          <w:sz w:val="24"/>
          <w:szCs w:val="24"/>
        </w:rPr>
        <w:t xml:space="preserve"> </w:t>
      </w:r>
      <w:r w:rsidR="00301504" w:rsidRPr="009538CF">
        <w:rPr>
          <w:rFonts w:ascii="Calibri Light" w:hAnsi="Calibri Light"/>
          <w:sz w:val="24"/>
          <w:szCs w:val="24"/>
        </w:rPr>
        <w:t>+0,3</w:t>
      </w:r>
      <w:r w:rsidR="00D73F3B" w:rsidRPr="009538CF">
        <w:rPr>
          <w:rFonts w:ascii="Calibri Light" w:hAnsi="Calibri Light"/>
          <w:b/>
          <w:sz w:val="24"/>
          <w:szCs w:val="24"/>
        </w:rPr>
        <w:t>C</w:t>
      </w:r>
    </w:p>
    <w:p w:rsidR="00487406" w:rsidRPr="002928D5" w:rsidRDefault="00C627AA" w:rsidP="002928D5">
      <w:pPr>
        <w:spacing w:after="0" w:line="360" w:lineRule="atLeast"/>
        <w:jc w:val="both"/>
        <w:rPr>
          <w:rFonts w:ascii="Calibri Light" w:hAnsi="Calibri Light" w:cs="Arial"/>
          <w:sz w:val="24"/>
          <w:szCs w:val="24"/>
        </w:rPr>
      </w:pPr>
      <w:r w:rsidRPr="002928D5">
        <w:rPr>
          <w:rFonts w:ascii="Calibri Light" w:hAnsi="Calibri Light" w:cs="Arial"/>
          <w:sz w:val="24"/>
          <w:szCs w:val="24"/>
        </w:rPr>
        <w:t>A candidatura será selecionada</w:t>
      </w:r>
      <w:r w:rsidR="00AE4CD0" w:rsidRPr="002928D5">
        <w:rPr>
          <w:rFonts w:ascii="Calibri Light" w:hAnsi="Calibri Light" w:cs="Arial"/>
          <w:sz w:val="24"/>
          <w:szCs w:val="24"/>
        </w:rPr>
        <w:t xml:space="preserve"> com base numa avaliação de mérito absoluto e p</w:t>
      </w:r>
      <w:r w:rsidR="00F659FE" w:rsidRPr="002928D5">
        <w:rPr>
          <w:rFonts w:ascii="Calibri Light" w:hAnsi="Calibri Light" w:cs="Arial"/>
          <w:sz w:val="24"/>
          <w:szCs w:val="24"/>
        </w:rPr>
        <w:t>ara efeitos de seleção, consideram-se elegíveis os projetos que obtiverem uma pontuação final igual ou superior a 3</w:t>
      </w:r>
      <w:r w:rsidR="00E5235B" w:rsidRPr="002928D5">
        <w:rPr>
          <w:rFonts w:ascii="Calibri Light" w:hAnsi="Calibri Light" w:cs="Arial"/>
          <w:sz w:val="24"/>
          <w:szCs w:val="24"/>
        </w:rPr>
        <w:t>,0</w:t>
      </w:r>
      <w:r w:rsidR="00F659FE" w:rsidRPr="002928D5">
        <w:rPr>
          <w:rFonts w:ascii="Calibri Light" w:hAnsi="Calibri Light" w:cs="Arial"/>
          <w:sz w:val="24"/>
          <w:szCs w:val="24"/>
        </w:rPr>
        <w:t xml:space="preserve"> pontos.</w:t>
      </w:r>
    </w:p>
    <w:p w:rsidR="00A8541F" w:rsidRPr="009538CF" w:rsidRDefault="00A8541F" w:rsidP="00A8541F">
      <w:pPr>
        <w:spacing w:after="0"/>
        <w:jc w:val="both"/>
        <w:rPr>
          <w:rFonts w:ascii="Calibri Light" w:hAnsi="Calibri Light"/>
          <w:sz w:val="24"/>
          <w:szCs w:val="24"/>
        </w:rPr>
      </w:pPr>
    </w:p>
    <w:p w:rsidR="00590433" w:rsidRPr="006676C2" w:rsidRDefault="0049676F" w:rsidP="009B2A69">
      <w:pPr>
        <w:spacing w:before="120" w:after="0" w:line="340" w:lineRule="atLeast"/>
        <w:jc w:val="both"/>
        <w:rPr>
          <w:rFonts w:ascii="Calibri Light" w:hAnsi="Calibri Light"/>
          <w:b/>
          <w:bCs/>
          <w:iCs/>
          <w:sz w:val="24"/>
          <w:szCs w:val="24"/>
        </w:rPr>
      </w:pPr>
      <w:r w:rsidRPr="006676C2">
        <w:rPr>
          <w:rFonts w:ascii="Calibri Light" w:hAnsi="Calibri Light"/>
          <w:b/>
          <w:bCs/>
          <w:iCs/>
          <w:sz w:val="24"/>
          <w:szCs w:val="24"/>
        </w:rPr>
        <w:t xml:space="preserve">1) </w:t>
      </w:r>
      <w:r w:rsidR="00B86B71" w:rsidRPr="006676C2">
        <w:rPr>
          <w:rFonts w:ascii="Calibri Light" w:hAnsi="Calibri Light"/>
          <w:b/>
          <w:bCs/>
          <w:iCs/>
          <w:sz w:val="24"/>
          <w:szCs w:val="24"/>
        </w:rPr>
        <w:t xml:space="preserve">Tipologia de </w:t>
      </w:r>
      <w:r w:rsidR="009B2A69" w:rsidRPr="006676C2">
        <w:rPr>
          <w:rFonts w:ascii="Calibri Light" w:hAnsi="Calibri Light"/>
          <w:b/>
          <w:bCs/>
          <w:iCs/>
          <w:sz w:val="24"/>
          <w:szCs w:val="24"/>
        </w:rPr>
        <w:t>operação (alínea a) do ponto 3. do Aviso)</w:t>
      </w:r>
      <w:r w:rsidR="00B86B71" w:rsidRPr="006676C2">
        <w:rPr>
          <w:rFonts w:ascii="Calibri Light" w:hAnsi="Calibri Light"/>
          <w:b/>
          <w:bCs/>
          <w:iCs/>
          <w:sz w:val="24"/>
          <w:szCs w:val="24"/>
        </w:rPr>
        <w:t>:</w:t>
      </w:r>
    </w:p>
    <w:p w:rsidR="00A8541F" w:rsidRPr="002C6FC2" w:rsidRDefault="00E13981" w:rsidP="00E13981">
      <w:pPr>
        <w:spacing w:before="120" w:after="0" w:line="360" w:lineRule="atLeast"/>
        <w:ind w:firstLine="567"/>
        <w:jc w:val="both"/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</w:pPr>
      <w:r w:rsidRPr="002C6FC2">
        <w:rPr>
          <w:rFonts w:ascii="Calibri Light" w:eastAsia="Times New Roman" w:hAnsi="Calibri Light" w:cs="Arial"/>
          <w:i/>
          <w:color w:val="000000"/>
          <w:sz w:val="24"/>
          <w:szCs w:val="24"/>
          <w:lang w:eastAsia="pt-PT"/>
        </w:rPr>
        <w:t>▪</w:t>
      </w:r>
      <w:r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ab/>
      </w:r>
      <w:r w:rsidR="009B2A69"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 xml:space="preserve"> </w:t>
      </w:r>
      <w:r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>Pos</w:t>
      </w:r>
      <w:r w:rsidR="00D615F5"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 xml:space="preserve">tos de carregamento da rede </w:t>
      </w:r>
      <w:r w:rsidR="00674635"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 xml:space="preserve">pública </w:t>
      </w:r>
      <w:r w:rsidR="00D615F5" w:rsidRPr="002C6FC2">
        <w:rPr>
          <w:rFonts w:ascii="Calibri Light" w:eastAsia="Times New Roman" w:hAnsi="Calibri Light" w:cs="Times New Roman"/>
          <w:i/>
          <w:color w:val="000000"/>
          <w:sz w:val="24"/>
          <w:szCs w:val="24"/>
          <w:lang w:eastAsia="pt-PT"/>
        </w:rPr>
        <w:t>de mobilidade elétrica.</w:t>
      </w:r>
    </w:p>
    <w:p w:rsidR="00B86B71" w:rsidRPr="0049676F" w:rsidRDefault="00B86B71" w:rsidP="005D4A4C">
      <w:pPr>
        <w:spacing w:before="24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49676F">
        <w:rPr>
          <w:rFonts w:ascii="Calibri Light" w:hAnsi="Calibri Light"/>
          <w:bCs/>
          <w:iCs/>
          <w:sz w:val="24"/>
          <w:szCs w:val="24"/>
        </w:rPr>
        <w:t>Critérios de seleção:</w:t>
      </w:r>
    </w:p>
    <w:p w:rsidR="00B86B71" w:rsidRPr="0049676F" w:rsidRDefault="00B86B71" w:rsidP="00B86B71">
      <w:pPr>
        <w:spacing w:after="0"/>
        <w:jc w:val="both"/>
        <w:rPr>
          <w:rFonts w:ascii="Calibri Light" w:hAnsi="Calibri Light"/>
          <w:sz w:val="24"/>
          <w:szCs w:val="24"/>
        </w:rPr>
      </w:pPr>
    </w:p>
    <w:p w:rsidR="00513563" w:rsidRPr="0049676F" w:rsidRDefault="005D73CC" w:rsidP="00513563">
      <w:pPr>
        <w:numPr>
          <w:ilvl w:val="0"/>
          <w:numId w:val="15"/>
        </w:numPr>
        <w:spacing w:after="0"/>
        <w:jc w:val="both"/>
        <w:rPr>
          <w:rFonts w:ascii="Calibri Light" w:hAnsi="Calibri Light"/>
          <w:sz w:val="24"/>
          <w:szCs w:val="24"/>
        </w:rPr>
      </w:pPr>
      <w:r w:rsidRPr="0049676F">
        <w:rPr>
          <w:rFonts w:ascii="Calibri Light" w:hAnsi="Calibri Light"/>
          <w:b/>
          <w:bCs/>
          <w:sz w:val="24"/>
          <w:szCs w:val="24"/>
        </w:rPr>
        <w:t xml:space="preserve">Eficácia </w:t>
      </w:r>
      <w:r w:rsidRPr="0049676F">
        <w:rPr>
          <w:rFonts w:ascii="Calibri Light" w:hAnsi="Calibri Light"/>
          <w:bCs/>
          <w:sz w:val="24"/>
          <w:szCs w:val="24"/>
        </w:rPr>
        <w:t>(40%)</w:t>
      </w:r>
      <w:r w:rsidR="00027997" w:rsidRPr="0049676F">
        <w:rPr>
          <w:rFonts w:ascii="Calibri Light" w:hAnsi="Calibri Light"/>
          <w:sz w:val="24"/>
          <w:szCs w:val="24"/>
        </w:rPr>
        <w:t>;</w:t>
      </w:r>
    </w:p>
    <w:p w:rsidR="00FD002E" w:rsidRPr="009538CF" w:rsidRDefault="00433E61" w:rsidP="002928D5">
      <w:pPr>
        <w:spacing w:before="120" w:after="0" w:line="360" w:lineRule="atLeast"/>
        <w:ind w:left="284"/>
        <w:jc w:val="both"/>
        <w:rPr>
          <w:rFonts w:ascii="Calibri Light" w:hAnsi="Calibri Light" w:cs="Arial"/>
          <w:sz w:val="24"/>
          <w:szCs w:val="24"/>
        </w:rPr>
      </w:pPr>
      <w:r w:rsidRPr="0049676F">
        <w:rPr>
          <w:rFonts w:ascii="Calibri Light" w:hAnsi="Calibri Light" w:cs="Arial"/>
          <w:sz w:val="24"/>
          <w:szCs w:val="24"/>
        </w:rPr>
        <w:t>Atendendo a que as metas propostas no PO AÇORES 2020</w:t>
      </w:r>
      <w:r w:rsidR="00FD002E" w:rsidRPr="0049676F">
        <w:rPr>
          <w:rFonts w:ascii="Calibri Light" w:hAnsi="Calibri Light" w:cs="Arial"/>
          <w:sz w:val="24"/>
          <w:szCs w:val="24"/>
        </w:rPr>
        <w:t xml:space="preserve"> têm uma quantificação agregada, a</w:t>
      </w:r>
      <w:r w:rsidR="00FD002E" w:rsidRPr="009538CF">
        <w:rPr>
          <w:rFonts w:ascii="Calibri Light" w:hAnsi="Calibri Light" w:cs="Arial"/>
          <w:sz w:val="24"/>
          <w:szCs w:val="24"/>
        </w:rPr>
        <w:t xml:space="preserve"> nível regional (conjunto das 9 ilhas), havendo uma discrepância muito acentuada entre potencial demográfico/território entre os concelhos/ilhas, a avaliação das operações não poderá deixar de </w:t>
      </w:r>
      <w:r w:rsidR="00FD002E" w:rsidRPr="002928D5">
        <w:rPr>
          <w:rFonts w:ascii="Calibri Light" w:hAnsi="Calibri Light" w:cs="Calibri"/>
          <w:color w:val="000000"/>
          <w:sz w:val="24"/>
          <w:szCs w:val="24"/>
        </w:rPr>
        <w:t>considerar</w:t>
      </w:r>
      <w:r w:rsidR="00FD002E" w:rsidRPr="009538CF">
        <w:rPr>
          <w:rFonts w:ascii="Calibri Light" w:hAnsi="Calibri Light" w:cs="Arial"/>
          <w:sz w:val="24"/>
          <w:szCs w:val="24"/>
        </w:rPr>
        <w:t xml:space="preserve"> o espaço de localização/influência da operação candidata.</w:t>
      </w:r>
    </w:p>
    <w:p w:rsidR="00D615F5" w:rsidRPr="005D4A4C" w:rsidRDefault="00FD002E" w:rsidP="005D4A4C">
      <w:pPr>
        <w:spacing w:before="120" w:after="120" w:line="360" w:lineRule="atLeast"/>
        <w:ind w:left="284"/>
        <w:jc w:val="both"/>
        <w:rPr>
          <w:rFonts w:ascii="Calibri Light" w:hAnsi="Calibri Light" w:cs="Arial"/>
          <w:sz w:val="24"/>
          <w:szCs w:val="24"/>
        </w:rPr>
      </w:pPr>
      <w:r w:rsidRPr="009538CF">
        <w:rPr>
          <w:rFonts w:ascii="Calibri Light" w:hAnsi="Calibri Light" w:cs="Arial"/>
          <w:sz w:val="24"/>
          <w:szCs w:val="24"/>
        </w:rPr>
        <w:t>Assim, neste critério, a</w:t>
      </w:r>
      <w:r w:rsidR="00A2660B" w:rsidRPr="009538CF">
        <w:rPr>
          <w:rFonts w:ascii="Calibri Light" w:hAnsi="Calibri Light" w:cs="Arial"/>
          <w:sz w:val="24"/>
          <w:szCs w:val="24"/>
        </w:rPr>
        <w:t xml:space="preserve"> avaliaç</w:t>
      </w:r>
      <w:r w:rsidR="00487406" w:rsidRPr="009538CF">
        <w:rPr>
          <w:rFonts w:ascii="Calibri Light" w:hAnsi="Calibri Light" w:cs="Arial"/>
          <w:sz w:val="24"/>
          <w:szCs w:val="24"/>
        </w:rPr>
        <w:t xml:space="preserve">ão </w:t>
      </w:r>
      <w:r w:rsidR="00A2660B" w:rsidRPr="009538CF">
        <w:rPr>
          <w:rFonts w:ascii="Calibri Light" w:hAnsi="Calibri Light" w:cs="Arial"/>
          <w:sz w:val="24"/>
          <w:szCs w:val="24"/>
        </w:rPr>
        <w:t xml:space="preserve">foca-se no nível de contribuição da operação para as metas dos </w:t>
      </w:r>
      <w:r w:rsidR="00A2660B" w:rsidRPr="002928D5">
        <w:rPr>
          <w:rFonts w:ascii="Calibri Light" w:hAnsi="Calibri Light" w:cs="Calibri"/>
          <w:color w:val="000000"/>
          <w:sz w:val="24"/>
          <w:szCs w:val="24"/>
        </w:rPr>
        <w:t>indicadores</w:t>
      </w:r>
      <w:r w:rsidR="00A2660B" w:rsidRPr="009538CF">
        <w:rPr>
          <w:rFonts w:ascii="Calibri Light" w:hAnsi="Calibri Light" w:cs="Arial"/>
          <w:sz w:val="24"/>
          <w:szCs w:val="24"/>
        </w:rPr>
        <w:t xml:space="preserve"> consta</w:t>
      </w:r>
      <w:r w:rsidR="003F620A" w:rsidRPr="009538CF">
        <w:rPr>
          <w:rFonts w:ascii="Calibri Light" w:hAnsi="Calibri Light" w:cs="Arial"/>
          <w:sz w:val="24"/>
          <w:szCs w:val="24"/>
        </w:rPr>
        <w:t xml:space="preserve">ntes do programa, </w:t>
      </w:r>
      <w:r w:rsidRPr="009538CF">
        <w:rPr>
          <w:rFonts w:ascii="Calibri Light" w:hAnsi="Calibri Light" w:cs="Arial"/>
          <w:sz w:val="24"/>
          <w:szCs w:val="24"/>
        </w:rPr>
        <w:t xml:space="preserve">quando aplicável, </w:t>
      </w:r>
      <w:r w:rsidR="00A2660B" w:rsidRPr="009538CF">
        <w:rPr>
          <w:rFonts w:ascii="Calibri Light" w:hAnsi="Calibri Light" w:cs="Arial"/>
          <w:sz w:val="24"/>
          <w:szCs w:val="24"/>
        </w:rPr>
        <w:t xml:space="preserve">sejam os de </w:t>
      </w:r>
      <w:r w:rsidR="00487406" w:rsidRPr="009538CF">
        <w:rPr>
          <w:rFonts w:ascii="Calibri Light" w:hAnsi="Calibri Light" w:cs="Arial"/>
          <w:sz w:val="24"/>
          <w:szCs w:val="24"/>
        </w:rPr>
        <w:t>resultado, seja</w:t>
      </w:r>
      <w:r w:rsidR="00D46FFF" w:rsidRPr="009538CF">
        <w:rPr>
          <w:rFonts w:ascii="Calibri Light" w:hAnsi="Calibri Light" w:cs="Arial"/>
          <w:sz w:val="24"/>
          <w:szCs w:val="24"/>
        </w:rPr>
        <w:t>m</w:t>
      </w:r>
      <w:r w:rsidR="00487406" w:rsidRPr="009538CF">
        <w:rPr>
          <w:rFonts w:ascii="Calibri Light" w:hAnsi="Calibri Light" w:cs="Arial"/>
          <w:sz w:val="24"/>
          <w:szCs w:val="24"/>
        </w:rPr>
        <w:t xml:space="preserve"> os de realização</w:t>
      </w:r>
      <w:r w:rsidR="00A2660B" w:rsidRPr="009538CF">
        <w:rPr>
          <w:rFonts w:ascii="Calibri Light" w:hAnsi="Calibri Light" w:cs="Arial"/>
          <w:sz w:val="24"/>
          <w:szCs w:val="24"/>
        </w:rPr>
        <w:t xml:space="preserve">, </w:t>
      </w:r>
      <w:r w:rsidR="003F620A" w:rsidRPr="009538CF">
        <w:rPr>
          <w:rFonts w:ascii="Calibri Light" w:hAnsi="Calibri Light" w:cs="Arial"/>
          <w:sz w:val="24"/>
          <w:szCs w:val="24"/>
        </w:rPr>
        <w:t xml:space="preserve">devidamente </w:t>
      </w:r>
      <w:proofErr w:type="spellStart"/>
      <w:r w:rsidR="003F620A" w:rsidRPr="009538CF">
        <w:rPr>
          <w:rFonts w:ascii="Calibri Light" w:hAnsi="Calibri Light" w:cs="Arial"/>
          <w:sz w:val="24"/>
          <w:szCs w:val="24"/>
        </w:rPr>
        <w:t>territorializados</w:t>
      </w:r>
      <w:proofErr w:type="spellEnd"/>
      <w:r w:rsidR="003F620A" w:rsidRPr="009538CF">
        <w:rPr>
          <w:rFonts w:ascii="Calibri Light" w:hAnsi="Calibri Light" w:cs="Arial"/>
          <w:sz w:val="24"/>
          <w:szCs w:val="24"/>
        </w:rPr>
        <w:t xml:space="preserve"> a nível </w:t>
      </w:r>
      <w:r w:rsidR="005D73CC" w:rsidRPr="009538CF">
        <w:rPr>
          <w:rFonts w:ascii="Calibri Light" w:hAnsi="Calibri Light" w:cs="Arial"/>
          <w:sz w:val="24"/>
          <w:szCs w:val="24"/>
        </w:rPr>
        <w:t>de ilha</w:t>
      </w:r>
      <w:r w:rsidR="00590433" w:rsidRPr="009538CF">
        <w:rPr>
          <w:rFonts w:ascii="Calibri Light" w:hAnsi="Calibri Light" w:cs="Arial"/>
          <w:sz w:val="24"/>
          <w:szCs w:val="24"/>
        </w:rPr>
        <w:t>,</w:t>
      </w:r>
      <w:r w:rsidR="005D73CC" w:rsidRPr="009538CF">
        <w:rPr>
          <w:rFonts w:ascii="Calibri Light" w:hAnsi="Calibri Light" w:cs="Arial"/>
          <w:sz w:val="24"/>
          <w:szCs w:val="24"/>
        </w:rPr>
        <w:t xml:space="preserve"> onde </w:t>
      </w:r>
      <w:r w:rsidRPr="009538CF">
        <w:rPr>
          <w:rFonts w:ascii="Calibri Light" w:hAnsi="Calibri Light" w:cs="Arial"/>
          <w:sz w:val="24"/>
          <w:szCs w:val="24"/>
        </w:rPr>
        <w:t>serão executadas</w:t>
      </w:r>
      <w:r w:rsidR="005D73CC" w:rsidRPr="009538CF">
        <w:rPr>
          <w:rFonts w:ascii="Calibri Light" w:hAnsi="Calibri Light" w:cs="Arial"/>
          <w:sz w:val="24"/>
          <w:szCs w:val="24"/>
        </w:rPr>
        <w:t xml:space="preserve"> as operações</w:t>
      </w:r>
      <w:r w:rsidR="008059BF" w:rsidRPr="009538CF">
        <w:rPr>
          <w:rFonts w:ascii="Calibri Light" w:hAnsi="Calibri Light" w:cs="Arial"/>
          <w:sz w:val="24"/>
          <w:szCs w:val="24"/>
        </w:rPr>
        <w:t>,</w:t>
      </w:r>
      <w:r w:rsidR="003F620A" w:rsidRPr="009538CF">
        <w:rPr>
          <w:rFonts w:ascii="Calibri Light" w:hAnsi="Calibri Light" w:cs="Arial"/>
          <w:sz w:val="24"/>
          <w:szCs w:val="24"/>
        </w:rPr>
        <w:t xml:space="preserve"> </w:t>
      </w:r>
      <w:r w:rsidR="00A2660B" w:rsidRPr="009538CF">
        <w:rPr>
          <w:rFonts w:ascii="Calibri Light" w:hAnsi="Calibri Light" w:cs="Arial"/>
          <w:sz w:val="24"/>
          <w:szCs w:val="24"/>
        </w:rPr>
        <w:t>utilizando a seguinte tabela:</w:t>
      </w: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842"/>
        <w:gridCol w:w="1276"/>
      </w:tblGrid>
      <w:tr w:rsidR="00D615F5" w:rsidRPr="00573E56" w:rsidTr="00573E56">
        <w:trPr>
          <w:trHeight w:val="705"/>
        </w:trPr>
        <w:tc>
          <w:tcPr>
            <w:tcW w:w="665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5F5" w:rsidRPr="009B2A69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u w:val="single"/>
                <w:lang w:eastAsia="pt-PT"/>
              </w:rPr>
            </w:pPr>
            <w:r w:rsidRPr="009B2A69"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u w:val="single"/>
                <w:lang w:eastAsia="pt-PT"/>
              </w:rPr>
              <w:t>Contribuição para Realização</w:t>
            </w:r>
          </w:p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hAnsi="Calibri Light"/>
                <w:sz w:val="20"/>
                <w:szCs w:val="20"/>
              </w:rPr>
              <w:t>Pontos de carregamento da rede de mobilidade elétrica</w:t>
            </w:r>
            <w:r w:rsidRPr="00573E56"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superior a 10%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5 pontos</w:t>
            </w:r>
          </w:p>
        </w:tc>
      </w:tr>
      <w:tr w:rsidR="00D615F5" w:rsidRPr="00573E56" w:rsidTr="00573E56">
        <w:trPr>
          <w:trHeight w:val="666"/>
        </w:trPr>
        <w:tc>
          <w:tcPr>
            <w:tcW w:w="665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Entre 5 a10%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3 pontos</w:t>
            </w:r>
          </w:p>
        </w:tc>
      </w:tr>
      <w:tr w:rsidR="00D615F5" w:rsidRPr="00573E56" w:rsidTr="00573E56">
        <w:trPr>
          <w:trHeight w:val="461"/>
        </w:trPr>
        <w:tc>
          <w:tcPr>
            <w:tcW w:w="6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Inferior a 5%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5F5" w:rsidRPr="00573E56" w:rsidRDefault="00D615F5" w:rsidP="00D615F5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</w:pPr>
            <w:r w:rsidRPr="00573E56">
              <w:rPr>
                <w:rFonts w:ascii="Calibri Light" w:eastAsia="Times New Roman" w:hAnsi="Calibri Light" w:cs="Times New Roman"/>
                <w:color w:val="000000"/>
                <w:sz w:val="20"/>
                <w:szCs w:val="20"/>
                <w:lang w:eastAsia="pt-PT"/>
              </w:rPr>
              <w:t>1 ponto</w:t>
            </w:r>
          </w:p>
        </w:tc>
      </w:tr>
    </w:tbl>
    <w:p w:rsidR="001F0008" w:rsidRPr="009538CF" w:rsidRDefault="00BC50C8" w:rsidP="004C1A14">
      <w:pPr>
        <w:spacing w:before="120" w:after="0" w:line="320" w:lineRule="atLeast"/>
        <w:ind w:left="720"/>
        <w:jc w:val="both"/>
        <w:rPr>
          <w:rFonts w:ascii="Calibri Light" w:hAnsi="Calibri Light"/>
          <w:bCs/>
          <w:sz w:val="24"/>
          <w:szCs w:val="24"/>
        </w:rPr>
      </w:pPr>
      <w:r w:rsidRPr="00573E56">
        <w:rPr>
          <w:rFonts w:ascii="Calibri Light" w:hAnsi="Calibri Light" w:cs="Arial"/>
          <w:b/>
        </w:rPr>
        <w:lastRenderedPageBreak/>
        <w:t>B</w:t>
      </w:r>
      <w:r w:rsidR="00660E7C" w:rsidRPr="00573E56">
        <w:rPr>
          <w:rFonts w:ascii="Calibri Light" w:hAnsi="Calibri Light" w:cs="Arial"/>
          <w:b/>
        </w:rPr>
        <w:t xml:space="preserve"> </w:t>
      </w:r>
      <w:r w:rsidR="004C62C5" w:rsidRPr="00573E56">
        <w:rPr>
          <w:rFonts w:ascii="Calibri Light" w:hAnsi="Calibri Light" w:cs="Arial"/>
          <w:b/>
        </w:rPr>
        <w:t>–</w:t>
      </w:r>
      <w:r w:rsidR="00660E7C" w:rsidRPr="00573E56">
        <w:rPr>
          <w:rFonts w:ascii="Calibri Light" w:hAnsi="Calibri Light" w:cs="Arial"/>
          <w:b/>
        </w:rPr>
        <w:t xml:space="preserve"> </w:t>
      </w:r>
      <w:r w:rsidR="004C1A14" w:rsidRPr="00573E56">
        <w:rPr>
          <w:rFonts w:ascii="Calibri Light" w:hAnsi="Calibri Light" w:cs="Arial"/>
          <w:b/>
        </w:rPr>
        <w:t>Alinhamento Estratégico</w:t>
      </w:r>
      <w:r w:rsidR="004C1A14" w:rsidRPr="009538CF">
        <w:rPr>
          <w:rFonts w:ascii="Calibri Light" w:hAnsi="Calibri Light"/>
          <w:b/>
          <w:bCs/>
          <w:sz w:val="24"/>
          <w:szCs w:val="24"/>
        </w:rPr>
        <w:t xml:space="preserve"> </w:t>
      </w:r>
      <w:r w:rsidR="004C1A14" w:rsidRPr="009538CF">
        <w:rPr>
          <w:rFonts w:ascii="Calibri Light" w:hAnsi="Calibri Light"/>
          <w:bCs/>
          <w:sz w:val="24"/>
          <w:szCs w:val="24"/>
        </w:rPr>
        <w:t>(3</w:t>
      </w:r>
      <w:r w:rsidR="005D73CC" w:rsidRPr="009538CF">
        <w:rPr>
          <w:rFonts w:ascii="Calibri Light" w:hAnsi="Calibri Light"/>
          <w:bCs/>
          <w:sz w:val="24"/>
          <w:szCs w:val="24"/>
        </w:rPr>
        <w:t>0%)</w:t>
      </w:r>
    </w:p>
    <w:p w:rsidR="00AC24C6" w:rsidRPr="009538CF" w:rsidRDefault="001F0008" w:rsidP="002928D5">
      <w:pPr>
        <w:spacing w:before="120" w:after="0" w:line="360" w:lineRule="atLeast"/>
        <w:ind w:left="284"/>
        <w:jc w:val="both"/>
        <w:rPr>
          <w:rFonts w:ascii="Calibri Light" w:hAnsi="Calibri Light" w:cs="Calibri"/>
          <w:color w:val="000000"/>
          <w:sz w:val="24"/>
          <w:szCs w:val="24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É avaliado o enquadramento da operação na estratégia regional neste domínio de intervenção, tendo em </w:t>
      </w:r>
      <w:r w:rsidRPr="002928D5">
        <w:rPr>
          <w:rFonts w:ascii="Calibri Light" w:hAnsi="Calibri Light" w:cs="Arial"/>
          <w:sz w:val="24"/>
          <w:szCs w:val="24"/>
        </w:rPr>
        <w:t>consideração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o planeamento regional e os documentos de setoriais, designadamente </w:t>
      </w:r>
      <w:r w:rsidR="009B2A69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o </w:t>
      </w:r>
      <w:r w:rsidRPr="009538CF">
        <w:rPr>
          <w:rFonts w:ascii="Calibri Light" w:hAnsi="Calibri Light" w:cs="Calibri"/>
          <w:color w:val="000000"/>
          <w:sz w:val="24"/>
          <w:szCs w:val="24"/>
        </w:rPr>
        <w:t xml:space="preserve">Plano de Mobilidade Urbana Sustentável </w:t>
      </w:r>
      <w:r w:rsidR="00746F42" w:rsidRPr="009538CF">
        <w:rPr>
          <w:rFonts w:ascii="Calibri Light" w:hAnsi="Calibri Light" w:cs="Calibri"/>
          <w:color w:val="000000"/>
          <w:sz w:val="24"/>
          <w:szCs w:val="24"/>
        </w:rPr>
        <w:t xml:space="preserve">(PMUS) </w:t>
      </w:r>
      <w:r w:rsidRPr="009538CF">
        <w:rPr>
          <w:rFonts w:ascii="Calibri Light" w:hAnsi="Calibri Light" w:cs="Calibri"/>
          <w:color w:val="000000"/>
          <w:sz w:val="24"/>
          <w:szCs w:val="24"/>
        </w:rPr>
        <w:t>dos Açores.</w:t>
      </w:r>
    </w:p>
    <w:p w:rsidR="00590433" w:rsidRPr="009538CF" w:rsidRDefault="001F0008" w:rsidP="002928D5">
      <w:pPr>
        <w:spacing w:before="120" w:after="0" w:line="360" w:lineRule="atLeast"/>
        <w:ind w:left="284"/>
        <w:jc w:val="both"/>
        <w:rPr>
          <w:rFonts w:ascii="Calibri Light" w:hAnsi="Calibri Light" w:cs="Calibri"/>
          <w:color w:val="000000"/>
          <w:sz w:val="24"/>
          <w:szCs w:val="24"/>
        </w:rPr>
      </w:pPr>
      <w:r w:rsidRPr="009538CF">
        <w:rPr>
          <w:rFonts w:ascii="Calibri Light" w:hAnsi="Calibri Light" w:cs="Calibri"/>
          <w:color w:val="000000"/>
          <w:sz w:val="24"/>
          <w:szCs w:val="24"/>
        </w:rPr>
        <w:t xml:space="preserve">Sendo na </w:t>
      </w:r>
      <w:r w:rsidRPr="002928D5">
        <w:rPr>
          <w:rFonts w:ascii="Calibri Light" w:hAnsi="Calibri Light" w:cs="Arial"/>
          <w:sz w:val="24"/>
          <w:szCs w:val="24"/>
        </w:rPr>
        <w:t>prática</w:t>
      </w:r>
      <w:r w:rsidRPr="009538CF">
        <w:rPr>
          <w:rFonts w:ascii="Calibri Light" w:hAnsi="Calibri Light" w:cs="Calibri"/>
          <w:color w:val="000000"/>
          <w:sz w:val="24"/>
          <w:szCs w:val="24"/>
        </w:rPr>
        <w:t xml:space="preserve"> uma condição de admissibilidade a </w:t>
      </w:r>
      <w:r w:rsidR="00746F42" w:rsidRPr="009538CF">
        <w:rPr>
          <w:rFonts w:ascii="Calibri Light" w:hAnsi="Calibri Light" w:cs="Calibri"/>
          <w:color w:val="000000"/>
          <w:sz w:val="24"/>
          <w:szCs w:val="24"/>
        </w:rPr>
        <w:t>adequação da operação ao PMUS</w:t>
      </w:r>
      <w:r w:rsidR="00192117" w:rsidRPr="009538CF">
        <w:rPr>
          <w:rFonts w:ascii="Calibri Light" w:hAnsi="Calibri Light" w:cs="Calibri"/>
          <w:color w:val="000000"/>
          <w:sz w:val="24"/>
          <w:szCs w:val="24"/>
        </w:rPr>
        <w:t xml:space="preserve"> dos Açores, não deixa de ser relevante pontuar o interesse estratégico da operação na consecução dos objetivos deste plano. Assim, serão atribuídos</w:t>
      </w:r>
      <w:r w:rsidR="00590433" w:rsidRPr="009538CF">
        <w:rPr>
          <w:rFonts w:ascii="Calibri Light" w:hAnsi="Calibri Light" w:cs="Calibri"/>
          <w:color w:val="000000"/>
          <w:sz w:val="24"/>
          <w:szCs w:val="24"/>
        </w:rPr>
        <w:t>:</w:t>
      </w:r>
    </w:p>
    <w:p w:rsidR="00C95592" w:rsidRPr="009538CF" w:rsidRDefault="00C95592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1 ponto, para operações que têm alinhamento pouco claro com a estratégia regional definida no PMUS</w:t>
      </w:r>
      <w:r w:rsidR="00674635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590433" w:rsidRPr="009538CF" w:rsidRDefault="00192117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3 pontos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para as operações que se enquadram dentro da estratégia regional 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definida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no PMUS</w:t>
      </w:r>
      <w:r w:rsidR="00674635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590433" w:rsidRPr="009538CF" w:rsidRDefault="00192117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hAnsi="Calibri Light" w:cs="Calibri"/>
          <w:color w:val="000000"/>
          <w:sz w:val="24"/>
          <w:szCs w:val="24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5 pontos em 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casos em que marcadamente traduzem a execução do </w:t>
      </w:r>
      <w:proofErr w:type="gramStart"/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PMUS</w:t>
      </w:r>
      <w:proofErr w:type="gramEnd"/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mas também 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e/ou eliminam/mini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mizam falhas </w:t>
      </w:r>
      <w:r w:rsidR="00CA1BEF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da oferta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e/ou manifesta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m uma 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abrangência territorial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significativa, à escala da ilha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/Região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onde são implementadas</w:t>
      </w:r>
      <w:r w:rsidRPr="009538CF">
        <w:rPr>
          <w:rFonts w:ascii="Calibri Light" w:hAnsi="Calibri Light" w:cs="Calibri"/>
          <w:color w:val="000000"/>
          <w:sz w:val="24"/>
          <w:szCs w:val="24"/>
        </w:rPr>
        <w:t>.</w:t>
      </w:r>
    </w:p>
    <w:p w:rsidR="009532E4" w:rsidRDefault="009532E4">
      <w:pPr>
        <w:rPr>
          <w:rFonts w:ascii="Calibri Light" w:hAnsi="Calibri Light" w:cs="Arial"/>
          <w:b/>
          <w:sz w:val="24"/>
          <w:szCs w:val="24"/>
        </w:rPr>
      </w:pPr>
    </w:p>
    <w:p w:rsidR="00B364A9" w:rsidRPr="009538CF" w:rsidRDefault="00B364A9" w:rsidP="00B364A9">
      <w:pPr>
        <w:pStyle w:val="PargrafodaLista"/>
        <w:spacing w:after="120" w:line="360" w:lineRule="auto"/>
        <w:jc w:val="both"/>
        <w:rPr>
          <w:rFonts w:ascii="Calibri Light" w:hAnsi="Calibri Light"/>
          <w:bCs/>
          <w:sz w:val="24"/>
          <w:szCs w:val="24"/>
        </w:rPr>
      </w:pPr>
      <w:r w:rsidRPr="009538CF">
        <w:rPr>
          <w:rFonts w:ascii="Calibri Light" w:hAnsi="Calibri Light" w:cs="Arial"/>
          <w:b/>
          <w:sz w:val="24"/>
          <w:szCs w:val="24"/>
        </w:rPr>
        <w:t xml:space="preserve">C – </w:t>
      </w:r>
      <w:proofErr w:type="gramStart"/>
      <w:r w:rsidR="00CF00D8" w:rsidRPr="00573E56">
        <w:rPr>
          <w:rFonts w:ascii="Calibri Light" w:hAnsi="Calibri Light" w:cs="Arial"/>
          <w:b/>
        </w:rPr>
        <w:t xml:space="preserve">Eficiência, Sustentabilidade </w:t>
      </w:r>
      <w:r w:rsidR="0049676F">
        <w:rPr>
          <w:rFonts w:ascii="Calibri Light" w:hAnsi="Calibri Light" w:cs="Arial"/>
          <w:b/>
        </w:rPr>
        <w:t>e</w:t>
      </w:r>
      <w:r w:rsidR="00CF00D8" w:rsidRPr="00573E56">
        <w:rPr>
          <w:rFonts w:ascii="Calibri Light" w:hAnsi="Calibri Light" w:cs="Arial"/>
          <w:b/>
        </w:rPr>
        <w:t xml:space="preserve"> Inovação</w:t>
      </w:r>
      <w:proofErr w:type="gramEnd"/>
      <w:r w:rsidRPr="009538CF">
        <w:rPr>
          <w:rFonts w:ascii="Calibri Light" w:hAnsi="Calibri Light" w:cs="Arial"/>
          <w:b/>
          <w:sz w:val="24"/>
          <w:szCs w:val="24"/>
        </w:rPr>
        <w:t xml:space="preserve"> </w:t>
      </w:r>
      <w:r w:rsidR="00301504" w:rsidRPr="009538CF">
        <w:rPr>
          <w:rFonts w:ascii="Calibri Light" w:hAnsi="Calibri Light"/>
          <w:bCs/>
          <w:sz w:val="24"/>
          <w:szCs w:val="24"/>
        </w:rPr>
        <w:t>(3</w:t>
      </w:r>
      <w:r w:rsidRPr="009538CF">
        <w:rPr>
          <w:rFonts w:ascii="Calibri Light" w:hAnsi="Calibri Light"/>
          <w:bCs/>
          <w:sz w:val="24"/>
          <w:szCs w:val="24"/>
        </w:rPr>
        <w:t>0%)</w:t>
      </w:r>
    </w:p>
    <w:p w:rsidR="009B2A69" w:rsidRDefault="00590433" w:rsidP="009B2A69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O nível de</w:t>
      </w:r>
      <w:r w:rsidR="00B364A9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</w:t>
      </w:r>
      <w:r w:rsidR="00B364A9" w:rsidRPr="009538CF">
        <w:rPr>
          <w:rFonts w:ascii="Calibri Light" w:eastAsia="Times New Roman" w:hAnsi="Calibri Light" w:cs="Times New Roman"/>
          <w:b/>
          <w:color w:val="000000"/>
          <w:sz w:val="24"/>
          <w:szCs w:val="24"/>
          <w:u w:val="single"/>
          <w:lang w:eastAsia="pt-PT"/>
        </w:rPr>
        <w:t xml:space="preserve">eficiência 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será avaliado</w:t>
      </w:r>
      <w:r w:rsidR="00B364A9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através de benchmarking com as melhores práticas ao nível do custo de cada veículo adquirido/convertido e ou ponto de carregamento disponibilizado, </w:t>
      </w:r>
      <w:r w:rsidR="00B364A9" w:rsidRPr="002928D5">
        <w:rPr>
          <w:rFonts w:ascii="Calibri Light" w:hAnsi="Calibri Light" w:cs="Arial"/>
          <w:sz w:val="24"/>
          <w:szCs w:val="24"/>
        </w:rPr>
        <w:t>relacionando</w:t>
      </w:r>
      <w:r w:rsidR="00B364A9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as variáveis capacidade </w:t>
      </w:r>
      <w:r w:rsidR="007809F8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oferecida pelo investimento e custo apresentado.</w:t>
      </w:r>
    </w:p>
    <w:p w:rsidR="00590433" w:rsidRPr="009538CF" w:rsidRDefault="007809F8" w:rsidP="009B2A69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A aplicação deste tipo de critérios e da forma como é realizado 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implica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ponderação, resultante dos </w:t>
      </w:r>
      <w:r w:rsidRPr="002928D5">
        <w:rPr>
          <w:rFonts w:ascii="Calibri Light" w:hAnsi="Calibri Light" w:cs="Arial"/>
          <w:sz w:val="24"/>
          <w:szCs w:val="24"/>
        </w:rPr>
        <w:t>sobrecustos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registados no processo de construção e aquisição de bens e serviços ao exterior, por via dos custos de transporte e da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exiguidade do mercado regional. Assim,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propõe-se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:</w:t>
      </w:r>
    </w:p>
    <w:p w:rsidR="00590433" w:rsidRPr="009538CF" w:rsidRDefault="00590433" w:rsidP="005F0246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1 ponto,</w:t>
      </w:r>
      <w:r w:rsidR="00C84304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para desvios superiores a</w:t>
      </w:r>
      <w:r w:rsidR="00F001F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15% na comparação estabelecida.</w:t>
      </w:r>
    </w:p>
    <w:p w:rsidR="00590433" w:rsidRPr="009538CF" w:rsidRDefault="00C84304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3 pontos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para o intervalo entre 5 a 14% </w:t>
      </w:r>
      <w:r w:rsidR="00F001F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de desvio.</w:t>
      </w:r>
    </w:p>
    <w:p w:rsidR="007809F8" w:rsidRPr="009538CF" w:rsidRDefault="00C84304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5 pontos</w:t>
      </w:r>
      <w:r w:rsidR="0059043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pela obtenção de preços/custos equiparáveis ou mesmo inferiores aos praticados para a mesma tipologia de operações no continente.</w:t>
      </w:r>
    </w:p>
    <w:p w:rsidR="00301504" w:rsidRPr="009538CF" w:rsidRDefault="00301504" w:rsidP="00564E36">
      <w:pPr>
        <w:spacing w:after="120" w:line="360" w:lineRule="auto"/>
        <w:ind w:left="36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9B2A69" w:rsidRPr="009538CF" w:rsidRDefault="003636F9" w:rsidP="005F0246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Ao nível da </w:t>
      </w:r>
      <w:r w:rsidRPr="009538CF">
        <w:rPr>
          <w:rFonts w:ascii="Calibri Light" w:eastAsia="Times New Roman" w:hAnsi="Calibri Light" w:cs="Times New Roman"/>
          <w:b/>
          <w:color w:val="000000"/>
          <w:sz w:val="24"/>
          <w:szCs w:val="24"/>
          <w:u w:val="single"/>
          <w:lang w:eastAsia="pt-PT"/>
        </w:rPr>
        <w:t>sustentabilidade e da inovação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 será valorado o contributo para o reforço da oferta de transporte público coletivo de passageiros</w:t>
      </w:r>
      <w:r w:rsidR="00564E36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na respetiva ilha</w:t>
      </w:r>
      <w:r w:rsidR="00FA4184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, avaliado em termos do aumento da </w:t>
      </w:r>
      <w:r w:rsidR="00FA4184" w:rsidRPr="002928D5">
        <w:rPr>
          <w:rFonts w:ascii="Calibri Light" w:hAnsi="Calibri Light" w:cs="Arial"/>
          <w:sz w:val="24"/>
          <w:szCs w:val="24"/>
        </w:rPr>
        <w:t>quota</w:t>
      </w:r>
      <w:r w:rsidR="00FA4184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de </w:t>
      </w:r>
      <w:r w:rsidR="00FA4184" w:rsidRPr="002928D5">
        <w:rPr>
          <w:rFonts w:ascii="Calibri Light" w:hAnsi="Calibri Light" w:cs="Arial"/>
          <w:sz w:val="24"/>
          <w:szCs w:val="24"/>
        </w:rPr>
        <w:t>mobilidade</w:t>
      </w:r>
      <w:r w:rsidR="00FA4184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não sustentada em meios motorizados tradicionais.</w:t>
      </w:r>
      <w:r w:rsidR="00564E36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Nas operações relativas à construção de uma rede pública de carregamento o grau de atualização e inovação da tecnologia utilizada. </w:t>
      </w:r>
      <w:r w:rsidR="00FA4184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O contributo da operação é pontuado da seguinte forma:</w:t>
      </w:r>
    </w:p>
    <w:p w:rsidR="00C34585" w:rsidRPr="009538CF" w:rsidRDefault="004714D2" w:rsidP="005F0246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3 pontos as soluções standard</w:t>
      </w:r>
      <w:r w:rsidR="00F001F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5F0246" w:rsidRPr="005F0246" w:rsidRDefault="00C34585" w:rsidP="005F0246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lastRenderedPageBreak/>
        <w:t xml:space="preserve"> </w:t>
      </w:r>
      <w:r w:rsidR="004714D2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5 pontos as que demonstrem um grau de inovação</w:t>
      </w:r>
      <w:r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</w:t>
      </w:r>
      <w:r w:rsidR="004714D2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seja ao nível da redução dos tempos de carregamento, seja também pela utilização de fichas normalizadas e </w:t>
      </w:r>
      <w:r w:rsidR="00672C23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comuns ao que se verifica na UE</w:t>
      </w:r>
      <w:r w:rsidR="002B3B68" w:rsidRPr="009538C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5F0246" w:rsidRPr="004A0AF7" w:rsidRDefault="005F0246" w:rsidP="005F0246">
      <w:pPr>
        <w:spacing w:before="120" w:after="0" w:line="320" w:lineRule="atLeast"/>
        <w:ind w:left="284"/>
        <w:jc w:val="both"/>
      </w:pPr>
      <w:r w:rsidRPr="005F0246">
        <w:rPr>
          <w:rFonts w:ascii="Calibri Light" w:hAnsi="Calibri Light"/>
          <w:sz w:val="24"/>
          <w:szCs w:val="24"/>
        </w:rPr>
        <w:t xml:space="preserve">Nota – Cada nível do critério C tem o mesmo peso, sendo o valor deste critério </w:t>
      </w:r>
      <w:r>
        <w:rPr>
          <w:rFonts w:ascii="Calibri Light" w:hAnsi="Calibri Light"/>
          <w:sz w:val="24"/>
          <w:szCs w:val="24"/>
        </w:rPr>
        <w:t xml:space="preserve">obtido pela </w:t>
      </w:r>
      <w:r w:rsidRPr="005F0246">
        <w:rPr>
          <w:rFonts w:ascii="Calibri Light" w:hAnsi="Calibri Light"/>
          <w:sz w:val="24"/>
          <w:szCs w:val="24"/>
        </w:rPr>
        <w:t xml:space="preserve">média aritmética dos </w:t>
      </w:r>
      <w:r>
        <w:rPr>
          <w:rFonts w:ascii="Calibri Light" w:hAnsi="Calibri Light"/>
          <w:sz w:val="24"/>
          <w:szCs w:val="24"/>
        </w:rPr>
        <w:t>2</w:t>
      </w:r>
      <w:r w:rsidRPr="005F0246">
        <w:rPr>
          <w:rFonts w:ascii="Calibri Light" w:hAnsi="Calibri Light"/>
          <w:sz w:val="24"/>
          <w:szCs w:val="24"/>
        </w:rPr>
        <w:t xml:space="preserve"> níveis</w:t>
      </w:r>
      <w:r>
        <w:t>.</w:t>
      </w:r>
    </w:p>
    <w:p w:rsidR="005F0246" w:rsidRPr="0049676F" w:rsidRDefault="005F0246" w:rsidP="005F0246">
      <w:pPr>
        <w:pStyle w:val="PargrafodaLista"/>
        <w:spacing w:before="120" w:after="0" w:line="320" w:lineRule="atLeast"/>
        <w:ind w:left="107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E13981" w:rsidRDefault="00E13981" w:rsidP="00E13981">
      <w:pPr>
        <w:pStyle w:val="PargrafodaLista"/>
        <w:numPr>
          <w:ilvl w:val="0"/>
          <w:numId w:val="40"/>
        </w:numPr>
        <w:spacing w:before="120" w:after="0" w:line="340" w:lineRule="atLeast"/>
        <w:jc w:val="both"/>
        <w:rPr>
          <w:rFonts w:ascii="Calibri Light" w:hAnsi="Calibri Light"/>
          <w:b/>
          <w:bCs/>
          <w:iCs/>
          <w:sz w:val="24"/>
          <w:szCs w:val="24"/>
        </w:rPr>
      </w:pPr>
      <w:r w:rsidRPr="00E13981">
        <w:rPr>
          <w:rFonts w:ascii="Calibri Light" w:hAnsi="Calibri Light"/>
          <w:b/>
          <w:bCs/>
          <w:iCs/>
          <w:sz w:val="24"/>
          <w:szCs w:val="24"/>
        </w:rPr>
        <w:t>Tipologia de operação (alínea b) do ponto 3. do Aviso):</w:t>
      </w:r>
    </w:p>
    <w:p w:rsidR="00E13981" w:rsidRDefault="00E13981" w:rsidP="00E13981">
      <w:pPr>
        <w:pStyle w:val="PargrafodaLista"/>
        <w:spacing w:before="120" w:after="0" w:line="340" w:lineRule="atLeast"/>
        <w:jc w:val="both"/>
        <w:rPr>
          <w:rFonts w:ascii="Calibri Light" w:hAnsi="Calibri Light"/>
          <w:b/>
          <w:bCs/>
          <w:iCs/>
          <w:sz w:val="24"/>
          <w:szCs w:val="24"/>
        </w:rPr>
      </w:pPr>
    </w:p>
    <w:p w:rsidR="00E13981" w:rsidRPr="002C6FC2" w:rsidRDefault="00E13981" w:rsidP="00E13981">
      <w:pPr>
        <w:pStyle w:val="PargrafodaLista"/>
        <w:spacing w:before="120" w:after="0" w:line="340" w:lineRule="atLeast"/>
        <w:jc w:val="both"/>
        <w:rPr>
          <w:rFonts w:ascii="Calibri Light" w:hAnsi="Calibri Light"/>
          <w:bCs/>
          <w:i/>
          <w:iCs/>
          <w:sz w:val="24"/>
          <w:szCs w:val="24"/>
        </w:rPr>
      </w:pPr>
      <w:r w:rsidRPr="002C6FC2">
        <w:rPr>
          <w:rFonts w:ascii="Calibri Light" w:hAnsi="Calibri Light" w:cs="Arial"/>
          <w:bCs/>
          <w:i/>
          <w:iCs/>
          <w:sz w:val="24"/>
          <w:szCs w:val="24"/>
        </w:rPr>
        <w:t xml:space="preserve">▪ </w:t>
      </w:r>
      <w:r w:rsidRPr="002C6FC2">
        <w:rPr>
          <w:rFonts w:ascii="Calibri Light" w:hAnsi="Calibri Light"/>
          <w:bCs/>
          <w:i/>
          <w:iCs/>
          <w:sz w:val="24"/>
          <w:szCs w:val="24"/>
        </w:rPr>
        <w:t>Sistemas de informação e de apoio ao utilizador da mobilidade elétrica.</w:t>
      </w:r>
    </w:p>
    <w:p w:rsidR="00E13981" w:rsidRDefault="00E13981" w:rsidP="00E13981">
      <w:pPr>
        <w:pStyle w:val="PargrafodaLista"/>
        <w:spacing w:before="120" w:after="0" w:line="340" w:lineRule="atLeast"/>
        <w:jc w:val="both"/>
        <w:rPr>
          <w:rFonts w:ascii="Calibri Light" w:hAnsi="Calibri Light"/>
          <w:bCs/>
          <w:i/>
          <w:iCs/>
          <w:sz w:val="24"/>
          <w:szCs w:val="24"/>
        </w:rPr>
      </w:pPr>
    </w:p>
    <w:p w:rsidR="00E13981" w:rsidRPr="00E13981" w:rsidRDefault="00E13981" w:rsidP="00E13981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49676F">
        <w:rPr>
          <w:rFonts w:ascii="Calibri Light" w:hAnsi="Calibri Light"/>
          <w:bCs/>
          <w:iCs/>
          <w:sz w:val="24"/>
          <w:szCs w:val="24"/>
        </w:rPr>
        <w:t>Critérios de seleção:</w:t>
      </w:r>
    </w:p>
    <w:p w:rsidR="00E13981" w:rsidRPr="00E13981" w:rsidRDefault="00E13981" w:rsidP="00E13981">
      <w:pPr>
        <w:rPr>
          <w:rFonts w:ascii="Calibri Light" w:hAnsi="Calibri Light"/>
          <w:b/>
          <w:bCs/>
          <w:iCs/>
          <w:sz w:val="24"/>
          <w:szCs w:val="24"/>
        </w:rPr>
      </w:pPr>
    </w:p>
    <w:p w:rsidR="00E13981" w:rsidRPr="00E13981" w:rsidRDefault="00E13981" w:rsidP="00E13981">
      <w:pPr>
        <w:numPr>
          <w:ilvl w:val="0"/>
          <w:numId w:val="32"/>
        </w:numPr>
        <w:rPr>
          <w:rFonts w:ascii="Calibri Light" w:hAnsi="Calibri Light"/>
          <w:b/>
          <w:bCs/>
          <w:iCs/>
          <w:sz w:val="24"/>
          <w:szCs w:val="24"/>
        </w:rPr>
      </w:pPr>
      <w:r w:rsidRPr="00E13981">
        <w:rPr>
          <w:rFonts w:ascii="Calibri Light" w:hAnsi="Calibri Light"/>
          <w:b/>
          <w:bCs/>
          <w:iCs/>
          <w:sz w:val="24"/>
          <w:szCs w:val="24"/>
        </w:rPr>
        <w:t>Eficácia (40%)</w:t>
      </w:r>
    </w:p>
    <w:p w:rsidR="00E13981" w:rsidRPr="00E13981" w:rsidRDefault="00E13981" w:rsidP="00E13981">
      <w:p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Nesta tipologia especifica de operações a avaliação da eficácia reside na capacidade que as operações possam oferecer no sentido da integração/complementaridade entre modos ao nível da economia de tempo para o utente, na integração tarifária e também na oferta de informação aos passageiros do transporte público de passageiros, incluindo a informação e o apoio ao utilizador da mobilidade elétrica.</w:t>
      </w:r>
    </w:p>
    <w:p w:rsidR="00E13981" w:rsidRPr="00E13981" w:rsidRDefault="00E13981" w:rsidP="00E13981">
      <w:p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Propõe-se neste critério a pontuação: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1 ponto, quando a candidatura não evidencia de forma clara as ações conducentes à introdução de elementos de melhoria do sistema de gestão e/ou para uma completa informação para os utentes do transporte público de passageiros e/ou ao utilizador da mobilidade elétrica.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3 pontos, quando a candidatura apresenta as ações suficientes para a introdução de melhoria do sistema de gestão e/ou para uma correta informação para os utentes do transporte público de passageiros e/ou ao utilizador da mobilidade elétrica.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5 pontos, quando a candidatura evidencia de forma coerente um conjunto de ações que demonstram um contributo muito relevante para uma gestão do sistema mais eficiente e eficaz e com a integração tarifária e/ou disponibilização eficiente e em tempo real de informação ao passageiro do transporte público de passageiros e/ou ao utilizador da mobilidade elétrica.</w:t>
      </w:r>
    </w:p>
    <w:p w:rsidR="00E13981" w:rsidRPr="00E13981" w:rsidRDefault="00E13981" w:rsidP="00E13981">
      <w:pPr>
        <w:ind w:firstLine="708"/>
        <w:jc w:val="both"/>
        <w:rPr>
          <w:rFonts w:ascii="Calibri Light" w:hAnsi="Calibri Light"/>
          <w:b/>
          <w:bCs/>
          <w:iCs/>
          <w:sz w:val="24"/>
          <w:szCs w:val="24"/>
        </w:rPr>
      </w:pPr>
      <w:r w:rsidRPr="00E13981">
        <w:rPr>
          <w:rFonts w:ascii="Calibri Light" w:hAnsi="Calibri Light"/>
          <w:b/>
          <w:bCs/>
          <w:iCs/>
          <w:sz w:val="24"/>
          <w:szCs w:val="24"/>
        </w:rPr>
        <w:t>B – Alinhamento Estratégico (30%)</w:t>
      </w:r>
    </w:p>
    <w:p w:rsidR="00E13981" w:rsidRPr="00E13981" w:rsidRDefault="00E13981" w:rsidP="00E13981">
      <w:p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É avaliado o enquadramento da operação na estratégia regional neste domínio de intervenção, tendo em consideração o planeamento regional e os documentos de setoriais, designadamente Plano de Mobilidade Urbana Sustentável (PMUS) dos Açores.</w:t>
      </w:r>
    </w:p>
    <w:p w:rsidR="00E13981" w:rsidRPr="00E13981" w:rsidRDefault="00E13981" w:rsidP="00E13981">
      <w:p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lastRenderedPageBreak/>
        <w:t>Sendo na prática uma condição de admissibilidade a adequação da operação ao PMUS dos Açores, não deixa de ser relevante pontuar o interesse estratégico da operação na consecução dos objetivos deste plano. Assim, serão atribuídos: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1 ponto, para operações que têm alinhamento pouco claro com a estratégia regional definida no PMUS.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3 pontos, para as operações que se enquadram dentro da estratégia regional definida no PMUS.</w:t>
      </w:r>
    </w:p>
    <w:p w:rsidR="002C6FC2" w:rsidRPr="002C6FC2" w:rsidRDefault="00E13981" w:rsidP="002C6FC2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 xml:space="preserve">5 pontos em casos em que marcadamente traduzem a execução do </w:t>
      </w:r>
      <w:proofErr w:type="gramStart"/>
      <w:r w:rsidRPr="00E13981">
        <w:rPr>
          <w:rFonts w:ascii="Calibri Light" w:hAnsi="Calibri Light"/>
          <w:bCs/>
          <w:iCs/>
          <w:sz w:val="24"/>
          <w:szCs w:val="24"/>
        </w:rPr>
        <w:t>PMUS</w:t>
      </w:r>
      <w:proofErr w:type="gramEnd"/>
      <w:r w:rsidRPr="00E13981">
        <w:rPr>
          <w:rFonts w:ascii="Calibri Light" w:hAnsi="Calibri Light"/>
          <w:bCs/>
          <w:iCs/>
          <w:sz w:val="24"/>
          <w:szCs w:val="24"/>
        </w:rPr>
        <w:t xml:space="preserve"> mas também e/ou eliminam/minimizam falhas da oferta e/ou manifestam uma abrangência territorial significativa, à escala da ilha/Região onde são implementadas.</w:t>
      </w:r>
    </w:p>
    <w:p w:rsidR="00E13981" w:rsidRPr="00E13981" w:rsidRDefault="00E13981" w:rsidP="00E13981">
      <w:pPr>
        <w:ind w:firstLine="708"/>
        <w:jc w:val="both"/>
        <w:rPr>
          <w:rFonts w:ascii="Calibri Light" w:hAnsi="Calibri Light"/>
          <w:b/>
          <w:bCs/>
          <w:iCs/>
          <w:sz w:val="24"/>
          <w:szCs w:val="24"/>
        </w:rPr>
      </w:pPr>
      <w:r w:rsidRPr="00E13981">
        <w:rPr>
          <w:rFonts w:ascii="Calibri Light" w:hAnsi="Calibri Light"/>
          <w:b/>
          <w:bCs/>
          <w:iCs/>
          <w:sz w:val="24"/>
          <w:szCs w:val="24"/>
        </w:rPr>
        <w:t xml:space="preserve">C – </w:t>
      </w:r>
      <w:proofErr w:type="gramStart"/>
      <w:r w:rsidRPr="00E13981">
        <w:rPr>
          <w:rFonts w:ascii="Calibri Light" w:hAnsi="Calibri Light"/>
          <w:b/>
          <w:bCs/>
          <w:iCs/>
          <w:sz w:val="24"/>
          <w:szCs w:val="24"/>
        </w:rPr>
        <w:t>Eficiência, Sustentabilidade e Inovação</w:t>
      </w:r>
      <w:proofErr w:type="gramEnd"/>
      <w:r w:rsidRPr="00E13981">
        <w:rPr>
          <w:rFonts w:ascii="Calibri Light" w:hAnsi="Calibri Light"/>
          <w:b/>
          <w:bCs/>
          <w:iCs/>
          <w:sz w:val="24"/>
          <w:szCs w:val="24"/>
        </w:rPr>
        <w:t xml:space="preserve"> (30%)</w:t>
      </w:r>
    </w:p>
    <w:p w:rsidR="00E13981" w:rsidRPr="00E13981" w:rsidRDefault="00E13981" w:rsidP="00E13981">
      <w:p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Para os sistemas de informação e de apoio ao utilizador da mobilidade elétrica será valorizado o âmbito territorial da candidatura, avaliado através da área de influência da operação, pontuando-se o contributo da candidatura do seguinte modo: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3 pontos, quando o sistema proposto não abrange mais que uma ilha do território regional</w:t>
      </w:r>
    </w:p>
    <w:p w:rsidR="00E13981" w:rsidRPr="00E13981" w:rsidRDefault="00E13981" w:rsidP="00E13981">
      <w:pPr>
        <w:numPr>
          <w:ilvl w:val="0"/>
          <w:numId w:val="31"/>
        </w:numPr>
        <w:jc w:val="both"/>
        <w:rPr>
          <w:rFonts w:ascii="Calibri Light" w:hAnsi="Calibri Light"/>
          <w:bCs/>
          <w:iCs/>
          <w:sz w:val="24"/>
          <w:szCs w:val="24"/>
        </w:rPr>
      </w:pPr>
      <w:r w:rsidRPr="00E13981">
        <w:rPr>
          <w:rFonts w:ascii="Calibri Light" w:hAnsi="Calibri Light"/>
          <w:bCs/>
          <w:iCs/>
          <w:sz w:val="24"/>
          <w:szCs w:val="24"/>
        </w:rPr>
        <w:t>5 pontos, quando o sistema proposto tem cobertura em pelo menos uma das ilhas de cada um dos 3 grupos de ilhas;</w:t>
      </w:r>
    </w:p>
    <w:p w:rsidR="00E13981" w:rsidRDefault="00E13981" w:rsidP="0049676F">
      <w:pPr>
        <w:rPr>
          <w:rFonts w:ascii="Calibri Light" w:hAnsi="Calibri Light"/>
          <w:b/>
          <w:bCs/>
          <w:iCs/>
          <w:sz w:val="24"/>
          <w:szCs w:val="24"/>
        </w:rPr>
      </w:pPr>
    </w:p>
    <w:p w:rsidR="00F408AE" w:rsidRPr="006676C2" w:rsidRDefault="00E13981" w:rsidP="0049676F">
      <w:pPr>
        <w:rPr>
          <w:rFonts w:ascii="Calibri Light" w:hAnsi="Calibri Light"/>
          <w:b/>
          <w:bCs/>
          <w:iCs/>
          <w:sz w:val="24"/>
          <w:szCs w:val="24"/>
        </w:rPr>
      </w:pPr>
      <w:r>
        <w:rPr>
          <w:rFonts w:ascii="Calibri Light" w:hAnsi="Calibri Light"/>
          <w:b/>
          <w:bCs/>
          <w:iCs/>
          <w:sz w:val="24"/>
          <w:szCs w:val="24"/>
        </w:rPr>
        <w:t>3</w:t>
      </w:r>
      <w:r w:rsidR="0049676F" w:rsidRPr="006676C2">
        <w:rPr>
          <w:rFonts w:ascii="Calibri Light" w:hAnsi="Calibri Light"/>
          <w:b/>
          <w:bCs/>
          <w:iCs/>
          <w:sz w:val="24"/>
          <w:szCs w:val="24"/>
        </w:rPr>
        <w:t xml:space="preserve">) </w:t>
      </w:r>
      <w:r w:rsidR="006F72B8" w:rsidRPr="006676C2">
        <w:rPr>
          <w:rFonts w:ascii="Calibri Light" w:hAnsi="Calibri Light"/>
          <w:b/>
          <w:bCs/>
          <w:iCs/>
          <w:sz w:val="24"/>
          <w:szCs w:val="24"/>
        </w:rPr>
        <w:t xml:space="preserve">Tipologia de </w:t>
      </w:r>
      <w:r w:rsidR="009B2A69" w:rsidRPr="006676C2">
        <w:rPr>
          <w:rFonts w:ascii="Calibri Light" w:hAnsi="Calibri Light"/>
          <w:b/>
          <w:bCs/>
          <w:iCs/>
          <w:sz w:val="24"/>
          <w:szCs w:val="24"/>
        </w:rPr>
        <w:t>operação</w:t>
      </w:r>
      <w:r w:rsidR="0049676F" w:rsidRPr="006676C2">
        <w:rPr>
          <w:rFonts w:ascii="Calibri Light" w:hAnsi="Calibri Light"/>
          <w:b/>
          <w:bCs/>
          <w:iCs/>
          <w:sz w:val="24"/>
          <w:szCs w:val="24"/>
        </w:rPr>
        <w:t xml:space="preserve"> (alínea </w:t>
      </w:r>
      <w:r>
        <w:rPr>
          <w:rFonts w:ascii="Calibri Light" w:hAnsi="Calibri Light"/>
          <w:b/>
          <w:bCs/>
          <w:iCs/>
          <w:sz w:val="24"/>
          <w:szCs w:val="24"/>
        </w:rPr>
        <w:t>c</w:t>
      </w:r>
      <w:r w:rsidR="0049676F" w:rsidRPr="006676C2">
        <w:rPr>
          <w:rFonts w:ascii="Calibri Light" w:hAnsi="Calibri Light"/>
          <w:b/>
          <w:bCs/>
          <w:iCs/>
          <w:sz w:val="24"/>
          <w:szCs w:val="24"/>
        </w:rPr>
        <w:t>) do ponto 3. do Aviso):</w:t>
      </w:r>
    </w:p>
    <w:p w:rsidR="006F72B8" w:rsidRPr="0049676F" w:rsidRDefault="006F72B8" w:rsidP="009B2A69">
      <w:pPr>
        <w:pStyle w:val="PargrafodaLista"/>
        <w:numPr>
          <w:ilvl w:val="0"/>
          <w:numId w:val="23"/>
        </w:numPr>
        <w:spacing w:before="100" w:after="0" w:line="320" w:lineRule="atLeast"/>
        <w:ind w:left="714" w:hanging="357"/>
        <w:contextualSpacing w:val="0"/>
        <w:jc w:val="both"/>
        <w:rPr>
          <w:rFonts w:ascii="Calibri Light" w:hAnsi="Calibri Light"/>
          <w:i/>
          <w:sz w:val="24"/>
          <w:szCs w:val="24"/>
        </w:rPr>
      </w:pPr>
      <w:r w:rsidRPr="0049676F">
        <w:rPr>
          <w:rFonts w:ascii="Calibri Light" w:hAnsi="Calibri Light"/>
          <w:i/>
          <w:sz w:val="24"/>
          <w:szCs w:val="24"/>
        </w:rPr>
        <w:t xml:space="preserve">Ações de </w:t>
      </w:r>
      <w:r w:rsidR="00EE4F4F" w:rsidRPr="0049676F">
        <w:rPr>
          <w:rFonts w:ascii="Calibri Light" w:hAnsi="Calibri Light"/>
          <w:i/>
          <w:sz w:val="24"/>
          <w:szCs w:val="24"/>
        </w:rPr>
        <w:t>sensibilização e divulgação de promoção de mobilidade elétrica</w:t>
      </w:r>
    </w:p>
    <w:p w:rsidR="00B95B33" w:rsidRPr="0049676F" w:rsidRDefault="00B95B33" w:rsidP="002928D5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Pela natureza destas operações os critérios de seleção avaliam essencialmente o interesse da ação e a razoabilidade de custos, em termos de comparação com</w:t>
      </w:r>
      <w:r w:rsidR="00E01A0D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ações de natureza equivalente.</w:t>
      </w:r>
    </w:p>
    <w:p w:rsidR="00523597" w:rsidRDefault="00523597" w:rsidP="00E01A0D">
      <w:pPr>
        <w:pStyle w:val="PargrafodaLista"/>
        <w:spacing w:after="120" w:line="360" w:lineRule="auto"/>
        <w:jc w:val="both"/>
        <w:rPr>
          <w:rFonts w:ascii="Calibri Light" w:hAnsi="Calibri Light"/>
          <w:bCs/>
          <w:iCs/>
          <w:sz w:val="24"/>
          <w:szCs w:val="24"/>
        </w:rPr>
      </w:pPr>
    </w:p>
    <w:p w:rsidR="00E01A0D" w:rsidRPr="00523597" w:rsidRDefault="00523597" w:rsidP="00523597">
      <w:pPr>
        <w:spacing w:after="120" w:line="360" w:lineRule="auto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523597">
        <w:rPr>
          <w:rFonts w:ascii="Calibri Light" w:hAnsi="Calibri Light"/>
          <w:bCs/>
          <w:iCs/>
          <w:sz w:val="24"/>
          <w:szCs w:val="24"/>
        </w:rPr>
        <w:t>Critérios de seleção:</w:t>
      </w:r>
    </w:p>
    <w:p w:rsidR="00380966" w:rsidRPr="0049676F" w:rsidRDefault="00380966" w:rsidP="00380966">
      <w:pPr>
        <w:pStyle w:val="PargrafodaLista"/>
        <w:numPr>
          <w:ilvl w:val="0"/>
          <w:numId w:val="34"/>
        </w:numPr>
        <w:spacing w:after="120" w:line="360" w:lineRule="auto"/>
        <w:jc w:val="both"/>
        <w:rPr>
          <w:rFonts w:ascii="Calibri Light" w:hAnsi="Calibri Light" w:cs="Arial"/>
          <w:b/>
          <w:sz w:val="24"/>
          <w:szCs w:val="24"/>
        </w:rPr>
      </w:pPr>
      <w:r w:rsidRPr="0049676F">
        <w:rPr>
          <w:rFonts w:ascii="Calibri Light" w:hAnsi="Calibri Light" w:cs="Arial"/>
          <w:b/>
          <w:sz w:val="24"/>
          <w:szCs w:val="24"/>
        </w:rPr>
        <w:t xml:space="preserve">Eficácia 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(40%)</w:t>
      </w:r>
    </w:p>
    <w:p w:rsidR="00380966" w:rsidRPr="0049676F" w:rsidRDefault="00380966" w:rsidP="002928D5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Propõe-se neste critério a pontuação:</w:t>
      </w:r>
    </w:p>
    <w:p w:rsidR="00380966" w:rsidRPr="0049676F" w:rsidRDefault="00380966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3 ponto</w:t>
      </w:r>
      <w:r w:rsidR="00674635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s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, para operações que evidenciem justificação suficiente para a oportunidade e público alvo e agenda ajustada.</w:t>
      </w:r>
    </w:p>
    <w:p w:rsidR="00380966" w:rsidRPr="0049676F" w:rsidRDefault="00380966" w:rsidP="0049676F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5 pontos, para operações com uma correta definição dos destinatários da ação e uma agenda corretamente ajustada ao tema</w:t>
      </w:r>
      <w:r w:rsidR="00674635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380966" w:rsidRPr="0049676F" w:rsidRDefault="00380966" w:rsidP="00380966">
      <w:pPr>
        <w:spacing w:after="120" w:line="360" w:lineRule="auto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380966" w:rsidRPr="0049676F" w:rsidRDefault="00380966" w:rsidP="00380966">
      <w:pPr>
        <w:spacing w:after="120" w:line="360" w:lineRule="auto"/>
        <w:ind w:left="567"/>
        <w:jc w:val="both"/>
        <w:rPr>
          <w:rFonts w:ascii="Calibri Light" w:hAnsi="Calibri Light"/>
          <w:bCs/>
          <w:sz w:val="24"/>
          <w:szCs w:val="24"/>
        </w:rPr>
      </w:pPr>
      <w:r w:rsidRPr="0049676F">
        <w:rPr>
          <w:rFonts w:ascii="Calibri Light" w:hAnsi="Calibri Light" w:cs="Arial"/>
          <w:b/>
          <w:sz w:val="24"/>
          <w:szCs w:val="24"/>
        </w:rPr>
        <w:lastRenderedPageBreak/>
        <w:t xml:space="preserve">B – Alinhamento Estratégico </w:t>
      </w:r>
      <w:r w:rsidRPr="0049676F">
        <w:rPr>
          <w:rFonts w:ascii="Calibri Light" w:hAnsi="Calibri Light"/>
          <w:bCs/>
          <w:sz w:val="24"/>
          <w:szCs w:val="24"/>
        </w:rPr>
        <w:t>(30%)</w:t>
      </w:r>
    </w:p>
    <w:p w:rsidR="00380966" w:rsidRPr="0049676F" w:rsidRDefault="00380966" w:rsidP="002928D5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Propõe-se neste critério a pontuação:</w:t>
      </w:r>
    </w:p>
    <w:p w:rsidR="00380966" w:rsidRPr="0049676F" w:rsidRDefault="00380966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1 ponto, para operações </w:t>
      </w:r>
      <w:r w:rsidR="00F408AE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s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em ponto da agenda com informação sobre o PMUS e a estratégia regional para o setor</w:t>
      </w:r>
      <w:r w:rsidR="00F408AE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.</w:t>
      </w:r>
    </w:p>
    <w:p w:rsidR="0049676F" w:rsidRDefault="00F408AE" w:rsidP="0049676F">
      <w:pPr>
        <w:pStyle w:val="PargrafodaLista"/>
        <w:numPr>
          <w:ilvl w:val="0"/>
          <w:numId w:val="31"/>
        </w:numPr>
        <w:spacing w:before="120" w:after="0" w:line="36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3 </w:t>
      </w:r>
      <w:r w:rsidR="00380966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ponto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s</w:t>
      </w:r>
      <w:r w:rsidR="00380966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, para operações 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com ponto da agenda com informação sobre o PMUS e a estratégia regional para o setor.</w:t>
      </w:r>
    </w:p>
    <w:p w:rsidR="0049676F" w:rsidRPr="0049676F" w:rsidRDefault="0049676F" w:rsidP="0049676F">
      <w:pPr>
        <w:pStyle w:val="PargrafodaLista"/>
        <w:spacing w:before="120" w:after="0" w:line="360" w:lineRule="atLeast"/>
        <w:ind w:left="107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380966" w:rsidRPr="0049676F" w:rsidRDefault="00380966" w:rsidP="00F04BFB">
      <w:pPr>
        <w:pStyle w:val="PargrafodaLista"/>
        <w:spacing w:before="240" w:after="120" w:line="360" w:lineRule="auto"/>
        <w:contextualSpacing w:val="0"/>
        <w:jc w:val="both"/>
        <w:rPr>
          <w:rFonts w:ascii="Calibri Light" w:hAnsi="Calibri Light"/>
          <w:bCs/>
          <w:sz w:val="24"/>
          <w:szCs w:val="24"/>
        </w:rPr>
      </w:pPr>
      <w:r w:rsidRPr="0049676F">
        <w:rPr>
          <w:rFonts w:ascii="Calibri Light" w:hAnsi="Calibri Light" w:cs="Arial"/>
          <w:b/>
          <w:sz w:val="24"/>
          <w:szCs w:val="24"/>
        </w:rPr>
        <w:t xml:space="preserve">C – </w:t>
      </w:r>
      <w:proofErr w:type="gramStart"/>
      <w:r w:rsidRPr="0049676F">
        <w:rPr>
          <w:rFonts w:ascii="Calibri Light" w:hAnsi="Calibri Light" w:cs="Arial"/>
          <w:b/>
          <w:sz w:val="24"/>
          <w:szCs w:val="24"/>
        </w:rPr>
        <w:t>Eficiência, Sustentabilidade e Inovação</w:t>
      </w:r>
      <w:proofErr w:type="gramEnd"/>
      <w:r w:rsidRPr="0049676F">
        <w:rPr>
          <w:rFonts w:ascii="Calibri Light" w:hAnsi="Calibri Light" w:cs="Arial"/>
          <w:b/>
          <w:sz w:val="24"/>
          <w:szCs w:val="24"/>
        </w:rPr>
        <w:t xml:space="preserve"> </w:t>
      </w:r>
      <w:r w:rsidRPr="0049676F">
        <w:rPr>
          <w:rFonts w:ascii="Calibri Light" w:hAnsi="Calibri Light"/>
          <w:bCs/>
          <w:sz w:val="24"/>
          <w:szCs w:val="24"/>
        </w:rPr>
        <w:t>(30%)</w:t>
      </w:r>
    </w:p>
    <w:p w:rsidR="00F408AE" w:rsidRPr="0049676F" w:rsidRDefault="00F408AE" w:rsidP="002928D5">
      <w:pPr>
        <w:spacing w:before="120" w:after="0" w:line="360" w:lineRule="atLeast"/>
        <w:ind w:left="284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Propõe-se neste critério a pontuação:</w:t>
      </w:r>
    </w:p>
    <w:p w:rsidR="00F408AE" w:rsidRPr="0049676F" w:rsidRDefault="00F408AE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1 ponto, para operações com desvio do custo médio por participante/sessão superior a 25% a benchmarking achado no programa.</w:t>
      </w:r>
    </w:p>
    <w:p w:rsidR="006F72B8" w:rsidRDefault="00F408AE" w:rsidP="002928D5">
      <w:pPr>
        <w:pStyle w:val="PargrafodaLista"/>
        <w:numPr>
          <w:ilvl w:val="0"/>
          <w:numId w:val="31"/>
        </w:numPr>
        <w:spacing w:before="120" w:after="0" w:line="320" w:lineRule="atLeast"/>
        <w:ind w:left="1077" w:hanging="35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3 </w:t>
      </w:r>
      <w:r w:rsidR="00674635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pontos</w:t>
      </w:r>
      <w:r w:rsidR="002B3B68"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 xml:space="preserve"> </w:t>
      </w:r>
      <w:r w:rsidRPr="0049676F"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  <w:t>para operações com desvio do custo médio por participante/sessão superior a 25% a benchmarking achado no programa.</w:t>
      </w:r>
    </w:p>
    <w:p w:rsidR="002C6FC2" w:rsidRDefault="002C6FC2" w:rsidP="002C6FC2">
      <w:pPr>
        <w:pStyle w:val="PargrafodaLista"/>
        <w:spacing w:before="120" w:after="0" w:line="320" w:lineRule="atLeast"/>
        <w:ind w:left="1077"/>
        <w:contextualSpacing w:val="0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49676F" w:rsidRDefault="0049676F" w:rsidP="0049676F">
      <w:pPr>
        <w:spacing w:before="120" w:after="0" w:line="320" w:lineRule="atLeast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p w:rsidR="006676C2" w:rsidRDefault="002C6FC2" w:rsidP="006676C2">
      <w:pPr>
        <w:jc w:val="both"/>
        <w:rPr>
          <w:rFonts w:ascii="Calibri Light" w:hAnsi="Calibri Light"/>
          <w:b/>
          <w:bCs/>
          <w:iCs/>
          <w:sz w:val="24"/>
          <w:szCs w:val="24"/>
        </w:rPr>
      </w:pPr>
      <w:r>
        <w:rPr>
          <w:rFonts w:ascii="Calibri Light" w:hAnsi="Calibri Light"/>
          <w:b/>
          <w:bCs/>
          <w:iCs/>
          <w:sz w:val="24"/>
          <w:szCs w:val="24"/>
        </w:rPr>
        <w:t>4</w:t>
      </w:r>
      <w:r w:rsidR="006676C2" w:rsidRPr="006676C2">
        <w:rPr>
          <w:rFonts w:ascii="Calibri Light" w:hAnsi="Calibri Light"/>
          <w:b/>
          <w:bCs/>
          <w:iCs/>
          <w:sz w:val="24"/>
          <w:szCs w:val="24"/>
        </w:rPr>
        <w:t xml:space="preserve">) Tipologia de operação (alínea </w:t>
      </w:r>
      <w:r>
        <w:rPr>
          <w:rFonts w:ascii="Calibri Light" w:hAnsi="Calibri Light"/>
          <w:b/>
          <w:bCs/>
          <w:iCs/>
          <w:sz w:val="24"/>
          <w:szCs w:val="24"/>
        </w:rPr>
        <w:t>d</w:t>
      </w:r>
      <w:r w:rsidR="006676C2" w:rsidRPr="006676C2">
        <w:rPr>
          <w:rFonts w:ascii="Calibri Light" w:hAnsi="Calibri Light"/>
          <w:b/>
          <w:bCs/>
          <w:iCs/>
          <w:sz w:val="24"/>
          <w:szCs w:val="24"/>
        </w:rPr>
        <w:t>) do ponto 3. do Aviso):</w:t>
      </w:r>
    </w:p>
    <w:p w:rsidR="002C6FC2" w:rsidRPr="002C6FC2" w:rsidRDefault="002C6FC2" w:rsidP="006676C2">
      <w:pPr>
        <w:pStyle w:val="PargrafodaLista"/>
        <w:numPr>
          <w:ilvl w:val="0"/>
          <w:numId w:val="23"/>
        </w:numPr>
        <w:spacing w:before="100" w:after="0" w:line="320" w:lineRule="atLeast"/>
        <w:ind w:left="714" w:hanging="357"/>
        <w:contextualSpacing w:val="0"/>
        <w:jc w:val="both"/>
        <w:rPr>
          <w:rFonts w:ascii="Calibri Light" w:hAnsi="Calibri Light"/>
          <w:i/>
          <w:sz w:val="24"/>
          <w:szCs w:val="24"/>
        </w:rPr>
      </w:pPr>
      <w:r w:rsidRPr="002C6FC2">
        <w:rPr>
          <w:rFonts w:ascii="Calibri Light" w:eastAsia="Calibri" w:hAnsi="Calibri Light" w:cs="Times New Roman"/>
          <w:i/>
          <w:sz w:val="24"/>
          <w:szCs w:val="24"/>
        </w:rPr>
        <w:t>Planos de mobilidade sustentável - mobilidade elétrica</w:t>
      </w:r>
    </w:p>
    <w:p w:rsidR="002C6FC2" w:rsidRPr="002C6FC2" w:rsidRDefault="002C6FC2" w:rsidP="002C6FC2">
      <w:pPr>
        <w:pStyle w:val="PargrafodaLista"/>
        <w:spacing w:before="100" w:after="0" w:line="320" w:lineRule="atLeast"/>
        <w:ind w:left="714"/>
        <w:contextualSpacing w:val="0"/>
        <w:jc w:val="both"/>
        <w:rPr>
          <w:rFonts w:ascii="Calibri Light" w:hAnsi="Calibri Light"/>
          <w:i/>
          <w:sz w:val="24"/>
          <w:szCs w:val="24"/>
        </w:rPr>
      </w:pP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O Mérito dos Projetos (MP) é determinado pela soma ponderada das pontuações parcelares, atribuídas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numa escala compreendida entre 1 e 5, para cada um dos critérios, de acordo com a seguinte fórmula:</w:t>
      </w:r>
    </w:p>
    <w:p w:rsidR="006676C2" w:rsidRPr="006676C2" w:rsidRDefault="006676C2" w:rsidP="006B50B0">
      <w:pPr>
        <w:spacing w:before="120" w:after="0" w:line="340" w:lineRule="atLeast"/>
        <w:jc w:val="center"/>
        <w:rPr>
          <w:rFonts w:ascii="Calibri Light" w:hAnsi="Calibri Light"/>
          <w:bCs/>
          <w:iCs/>
          <w:sz w:val="24"/>
          <w:szCs w:val="24"/>
        </w:rPr>
      </w:pPr>
      <w:r w:rsidRPr="006B50B0">
        <w:rPr>
          <w:rFonts w:ascii="Calibri Light" w:hAnsi="Calibri Light"/>
          <w:b/>
          <w:bCs/>
          <w:iCs/>
          <w:sz w:val="24"/>
          <w:szCs w:val="24"/>
        </w:rPr>
        <w:t>MP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= 0,3</w:t>
      </w:r>
      <w:r w:rsidRPr="006B50B0">
        <w:rPr>
          <w:rFonts w:ascii="Calibri Light" w:hAnsi="Calibri Light"/>
          <w:b/>
          <w:bCs/>
          <w:iCs/>
          <w:sz w:val="24"/>
          <w:szCs w:val="24"/>
        </w:rPr>
        <w:t>A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+ 0,25</w:t>
      </w:r>
      <w:r w:rsidRPr="006B50B0">
        <w:rPr>
          <w:rFonts w:ascii="Calibri Light" w:hAnsi="Calibri Light"/>
          <w:b/>
          <w:bCs/>
          <w:iCs/>
          <w:sz w:val="24"/>
          <w:szCs w:val="24"/>
        </w:rPr>
        <w:t>B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+ 0,25</w:t>
      </w:r>
      <w:r w:rsidRPr="006B50B0">
        <w:rPr>
          <w:rFonts w:ascii="Calibri Light" w:hAnsi="Calibri Light"/>
          <w:b/>
          <w:bCs/>
          <w:iCs/>
          <w:sz w:val="24"/>
          <w:szCs w:val="24"/>
        </w:rPr>
        <w:t>C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+ 0,1</w:t>
      </w:r>
      <w:r w:rsidRPr="006B50B0">
        <w:rPr>
          <w:rFonts w:ascii="Calibri Light" w:hAnsi="Calibri Light"/>
          <w:b/>
          <w:bCs/>
          <w:iCs/>
          <w:sz w:val="24"/>
          <w:szCs w:val="24"/>
        </w:rPr>
        <w:t>D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+ 0,1</w:t>
      </w:r>
      <w:r w:rsidRPr="006B50B0">
        <w:rPr>
          <w:rFonts w:ascii="Calibri Light" w:hAnsi="Calibri Light"/>
          <w:b/>
          <w:bCs/>
          <w:iCs/>
          <w:sz w:val="24"/>
          <w:szCs w:val="24"/>
        </w:rPr>
        <w:t>E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As candidaturas serão selecionadas com base numa avaliação de mérito absoluto e para efeitos de seleção,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consideram-se elegíveis os projetos que obtiverem uma pontuação final igual ou superior a 3,0 pontos.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Os critérios de seleção, constantes da fórmula de determinação do Mérito dos projetos, serão pontuados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com base na seguinte metodologia: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/>
          <w:bCs/>
          <w:iCs/>
          <w:sz w:val="24"/>
          <w:szCs w:val="24"/>
        </w:rPr>
        <w:t>Critério A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– mede o contributo das medidas previstas no PMUS para a concretização dos objetivos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específicos da prioridade de investimento, do seguinte modo: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a) Apresentações de ações previstas na PI no âmbito da mobilidade urbana sustentável ou d</w:t>
      </w:r>
      <w:r w:rsidR="002C6FC2">
        <w:rPr>
          <w:rFonts w:ascii="Calibri Light" w:hAnsi="Calibri Light"/>
          <w:bCs/>
          <w:iCs/>
          <w:sz w:val="24"/>
          <w:szCs w:val="24"/>
        </w:rPr>
        <w:t xml:space="preserve">a </w:t>
      </w:r>
      <w:r w:rsidRPr="006676C2">
        <w:rPr>
          <w:rFonts w:ascii="Calibri Light" w:hAnsi="Calibri Light"/>
          <w:bCs/>
          <w:iCs/>
          <w:sz w:val="24"/>
          <w:szCs w:val="24"/>
        </w:rPr>
        <w:t>mobilidade elétrica: 3 pontos;</w:t>
      </w:r>
    </w:p>
    <w:p w:rsidR="006676C2" w:rsidRPr="006676C2" w:rsidRDefault="006676C2" w:rsidP="00523597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lastRenderedPageBreak/>
        <w:t>b) Apresentações de ações previstas na PI no âmbito da mob</w:t>
      </w:r>
      <w:r w:rsidR="002C6FC2">
        <w:rPr>
          <w:rFonts w:ascii="Calibri Light" w:hAnsi="Calibri Light"/>
          <w:bCs/>
          <w:iCs/>
          <w:sz w:val="24"/>
          <w:szCs w:val="24"/>
        </w:rPr>
        <w:t xml:space="preserve">ilidade urbana sustentável e da </w:t>
      </w:r>
      <w:r w:rsidRPr="006676C2">
        <w:rPr>
          <w:rFonts w:ascii="Calibri Light" w:hAnsi="Calibri Light"/>
          <w:bCs/>
          <w:iCs/>
          <w:sz w:val="24"/>
          <w:szCs w:val="24"/>
        </w:rPr>
        <w:t>mobilidade elétrica: 5 pontos.</w:t>
      </w:r>
    </w:p>
    <w:p w:rsidR="006676C2" w:rsidRPr="006676C2" w:rsidRDefault="006676C2" w:rsidP="00523597">
      <w:pPr>
        <w:spacing w:before="24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bookmarkStart w:id="1" w:name="_GoBack"/>
      <w:bookmarkEnd w:id="1"/>
      <w:r w:rsidRPr="006676C2">
        <w:rPr>
          <w:rFonts w:ascii="Calibri Light" w:hAnsi="Calibri Light"/>
          <w:b/>
          <w:bCs/>
          <w:iCs/>
          <w:sz w:val="24"/>
          <w:szCs w:val="24"/>
        </w:rPr>
        <w:t>Critério B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– medido pela qualidade técnica do PMUS, através da coerência entre o diagnóstico e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caraterização da situação existente, o planeamento e propostas de execução das medidas, o modelo de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monitorização e avaliação das medidas propostas, do seguinte modo:</w:t>
      </w:r>
    </w:p>
    <w:p w:rsidR="006676C2" w:rsidRPr="006676C2" w:rsidRDefault="006676C2" w:rsidP="002C6F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a) Coerência pouco clara: 1 ponto;</w:t>
      </w:r>
    </w:p>
    <w:p w:rsidR="006676C2" w:rsidRPr="006676C2" w:rsidRDefault="006676C2" w:rsidP="006B50B0">
      <w:pPr>
        <w:spacing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b) Coerência entre a análise da situação existente, o planeamento e mecanismos de execução das</w:t>
      </w:r>
    </w:p>
    <w:p w:rsidR="006676C2" w:rsidRPr="006676C2" w:rsidRDefault="006676C2" w:rsidP="006B50B0">
      <w:pPr>
        <w:spacing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medidas, definindo um modelo de monitorização das medidas propostas: 3 pontos;</w:t>
      </w:r>
    </w:p>
    <w:p w:rsidR="006676C2" w:rsidRPr="006676C2" w:rsidRDefault="006676C2" w:rsidP="006B50B0">
      <w:pPr>
        <w:spacing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c) Para além do previsto na alínea anterior, inclui a avaliação do impacto das medidas propostas: 5</w:t>
      </w:r>
    </w:p>
    <w:p w:rsidR="006676C2" w:rsidRPr="006676C2" w:rsidRDefault="006676C2" w:rsidP="00523597">
      <w:pPr>
        <w:spacing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pontos.</w:t>
      </w:r>
    </w:p>
    <w:p w:rsidR="006676C2" w:rsidRPr="006676C2" w:rsidRDefault="006676C2" w:rsidP="00523597">
      <w:pPr>
        <w:spacing w:before="24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/>
          <w:bCs/>
          <w:iCs/>
          <w:sz w:val="24"/>
          <w:szCs w:val="24"/>
        </w:rPr>
        <w:t xml:space="preserve">Critério C </w:t>
      </w:r>
      <w:r w:rsidRPr="006676C2">
        <w:rPr>
          <w:rFonts w:ascii="Calibri Light" w:hAnsi="Calibri Light"/>
          <w:bCs/>
          <w:iCs/>
          <w:sz w:val="24"/>
          <w:szCs w:val="24"/>
        </w:rPr>
        <w:t>– mede a articulação/adequação das ações previstas no PMUS com outros instrumentos de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planeamento em vigor, nomeadamente o Plano Integrado dos Transportes dos Açores ou os Planos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Integrados de Regeneração Urbana Sustentável, do seguinte modo: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a) Sem evidência de adequação/articulação: 1 ponto;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proofErr w:type="gramStart"/>
      <w:r w:rsidRPr="006676C2">
        <w:rPr>
          <w:rFonts w:ascii="Calibri Light" w:hAnsi="Calibri Light"/>
          <w:bCs/>
          <w:iCs/>
          <w:sz w:val="24"/>
          <w:szCs w:val="24"/>
        </w:rPr>
        <w:t>b) Com</w:t>
      </w:r>
      <w:proofErr w:type="gramEnd"/>
      <w:r w:rsidRPr="006676C2">
        <w:rPr>
          <w:rFonts w:ascii="Calibri Light" w:hAnsi="Calibri Light"/>
          <w:bCs/>
          <w:iCs/>
          <w:sz w:val="24"/>
          <w:szCs w:val="24"/>
        </w:rPr>
        <w:t xml:space="preserve"> evidência de adequação/articulação: 5 pontos.</w:t>
      </w:r>
    </w:p>
    <w:p w:rsidR="006676C2" w:rsidRPr="006676C2" w:rsidRDefault="006676C2" w:rsidP="002C6FC2">
      <w:pPr>
        <w:spacing w:before="24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/>
          <w:bCs/>
          <w:iCs/>
          <w:sz w:val="24"/>
          <w:szCs w:val="24"/>
        </w:rPr>
        <w:t>Critério D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– medido pelo grau de abrangência territorial do PMUS, sendo valorizado do seguinte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modo: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a) Abrangência municipal: 3 pontos;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b) Abrangência intermunicipal: 4 pontos;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c) Abrangência regional: 5 pontos.</w:t>
      </w:r>
    </w:p>
    <w:p w:rsidR="006676C2" w:rsidRPr="006676C2" w:rsidRDefault="006676C2" w:rsidP="002C6FC2">
      <w:pPr>
        <w:spacing w:before="24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/>
          <w:bCs/>
          <w:iCs/>
          <w:sz w:val="24"/>
          <w:szCs w:val="24"/>
        </w:rPr>
        <w:t>Critério E</w:t>
      </w:r>
      <w:r w:rsidRPr="006676C2">
        <w:rPr>
          <w:rFonts w:ascii="Calibri Light" w:hAnsi="Calibri Light"/>
          <w:bCs/>
          <w:iCs/>
          <w:sz w:val="24"/>
          <w:szCs w:val="24"/>
        </w:rPr>
        <w:t xml:space="preserve"> – medido pela qualidade e alcance das medidas previstas no PMUS ao nível da sensibilização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e divulgação no domínio da mobilidade urbana sustentável, do seguinte modo: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a) Sem evidência de ações de sensibilização e divulgação: 1 ponto;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b) Evidência de ações de sensibilização e divulgação: 3 pontos;</w:t>
      </w:r>
    </w:p>
    <w:p w:rsidR="006676C2" w:rsidRPr="006676C2" w:rsidRDefault="006676C2" w:rsidP="006676C2">
      <w:pPr>
        <w:spacing w:before="120" w:after="0" w:line="340" w:lineRule="atLeast"/>
        <w:jc w:val="both"/>
        <w:rPr>
          <w:rFonts w:ascii="Calibri Light" w:hAnsi="Calibri Light"/>
          <w:bCs/>
          <w:iCs/>
          <w:sz w:val="24"/>
          <w:szCs w:val="24"/>
        </w:rPr>
      </w:pPr>
      <w:r w:rsidRPr="006676C2">
        <w:rPr>
          <w:rFonts w:ascii="Calibri Light" w:hAnsi="Calibri Light"/>
          <w:bCs/>
          <w:iCs/>
          <w:sz w:val="24"/>
          <w:szCs w:val="24"/>
        </w:rPr>
        <w:t>c) Evidência de ações de sensibilização e divulgação, prevendo a avaliação dos resultados dos</w:t>
      </w:r>
      <w:r>
        <w:rPr>
          <w:rFonts w:ascii="Calibri Light" w:hAnsi="Calibri Light"/>
          <w:bCs/>
          <w:iCs/>
          <w:sz w:val="24"/>
          <w:szCs w:val="24"/>
        </w:rPr>
        <w:t xml:space="preserve"> </w:t>
      </w:r>
      <w:r w:rsidRPr="006676C2">
        <w:rPr>
          <w:rFonts w:ascii="Calibri Light" w:hAnsi="Calibri Light"/>
          <w:bCs/>
          <w:iCs/>
          <w:sz w:val="24"/>
          <w:szCs w:val="24"/>
        </w:rPr>
        <w:t>mesmos: 5 pontos.</w:t>
      </w:r>
    </w:p>
    <w:p w:rsidR="0049676F" w:rsidRPr="0049676F" w:rsidRDefault="0049676F" w:rsidP="0049676F">
      <w:pPr>
        <w:spacing w:before="120" w:after="0" w:line="320" w:lineRule="atLeast"/>
        <w:jc w:val="both"/>
        <w:rPr>
          <w:rFonts w:ascii="Calibri Light" w:eastAsia="Times New Roman" w:hAnsi="Calibri Light" w:cs="Times New Roman"/>
          <w:color w:val="000000"/>
          <w:sz w:val="24"/>
          <w:szCs w:val="24"/>
          <w:lang w:eastAsia="pt-PT"/>
        </w:rPr>
      </w:pPr>
    </w:p>
    <w:sectPr w:rsidR="0049676F" w:rsidRPr="0049676F" w:rsidSect="005E05B6">
      <w:headerReference w:type="default" r:id="rId8"/>
      <w:footerReference w:type="default" r:id="rId9"/>
      <w:pgSz w:w="11906" w:h="16838" w:code="9"/>
      <w:pgMar w:top="1985" w:right="1134" w:bottom="113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FC2" w:rsidRDefault="002C6FC2" w:rsidP="00947344">
      <w:pPr>
        <w:spacing w:after="0" w:line="240" w:lineRule="auto"/>
      </w:pPr>
      <w:r>
        <w:separator/>
      </w:r>
    </w:p>
  </w:endnote>
  <w:endnote w:type="continuationSeparator" w:id="0">
    <w:p w:rsidR="002C6FC2" w:rsidRDefault="002C6FC2" w:rsidP="00947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9747"/>
    </w:tblGrid>
    <w:tr w:rsidR="002C6FC2" w:rsidRPr="00D46AF4" w:rsidTr="00947344">
      <w:tc>
        <w:tcPr>
          <w:tcW w:w="9747" w:type="dxa"/>
          <w:shd w:val="clear" w:color="auto" w:fill="auto"/>
        </w:tcPr>
        <w:p w:rsidR="002C6FC2" w:rsidRPr="00D46AF4" w:rsidRDefault="002C6FC2" w:rsidP="00947344">
          <w:pPr>
            <w:spacing w:before="120"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REGIÃO AUTÓNOM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A DOS AÇORES – Vice-Presidência, Emprego e Competitividade Empresarial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– Direção Regional do P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laneamento e Fundos Estruturais</w:t>
          </w:r>
        </w:p>
        <w:p w:rsidR="002C6FC2" w:rsidRPr="00D46AF4" w:rsidRDefault="002C6FC2" w:rsidP="00947344">
          <w:pPr>
            <w:spacing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Caminho do Meio, 58 – São Carlos – 9701-853 Angra do Heroísmo – </w:t>
          </w:r>
          <w:proofErr w:type="spellStart"/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Tel</w:t>
          </w:r>
          <w:proofErr w:type="spellEnd"/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: (+351)295 206 380  Fax: (+351) 295 206 381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hyperlink r:id="rId1" w:history="1">
            <w:r w:rsidRPr="00D46AF4">
              <w:rPr>
                <w:rStyle w:val="Hiperligao"/>
                <w:rFonts w:ascii="Calibri" w:eastAsia="Calibri" w:hAnsi="Calibri"/>
                <w:color w:val="404040" w:themeColor="text1" w:themeTint="BF"/>
                <w:sz w:val="12"/>
                <w:szCs w:val="12"/>
              </w:rPr>
              <w:t>PO2014-2020@azores.gov.pt</w:t>
            </w:r>
          </w:hyperlink>
          <w:r>
            <w:rPr>
              <w:rStyle w:val="Hiperligao"/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www.poacores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2020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.azores.gov.pt</w:t>
          </w:r>
        </w:p>
      </w:tc>
    </w:tr>
  </w:tbl>
  <w:sdt>
    <w:sdtPr>
      <w:rPr>
        <w:rFonts w:ascii="Arial Narrow" w:hAnsi="Arial Narrow"/>
        <w:sz w:val="18"/>
        <w:szCs w:val="18"/>
      </w:rPr>
      <w:id w:val="147764875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2C6FC2" w:rsidRPr="00947344" w:rsidRDefault="002C6FC2" w:rsidP="00947344">
        <w:pPr>
          <w:pStyle w:val="Cabealho"/>
          <w:tabs>
            <w:tab w:val="clear" w:pos="8504"/>
          </w:tabs>
          <w:spacing w:before="60"/>
          <w:ind w:right="-1"/>
          <w:jc w:val="right"/>
          <w:rPr>
            <w:rFonts w:ascii="Arial Narrow" w:hAnsi="Arial Narrow"/>
            <w:sz w:val="16"/>
            <w:szCs w:val="16"/>
          </w:rPr>
        </w:pP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PAGE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523597">
          <w:rPr>
            <w:rFonts w:ascii="Arial Narrow" w:hAnsi="Arial Narrow"/>
            <w:bCs/>
            <w:noProof/>
            <w:sz w:val="16"/>
            <w:szCs w:val="16"/>
          </w:rPr>
          <w:t>6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  <w:r w:rsidRPr="00400355">
          <w:rPr>
            <w:rFonts w:ascii="Arial Narrow" w:hAnsi="Arial Narrow"/>
            <w:sz w:val="16"/>
            <w:szCs w:val="16"/>
          </w:rPr>
          <w:t xml:space="preserve"> de 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NUMPAGES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523597">
          <w:rPr>
            <w:rFonts w:ascii="Arial Narrow" w:hAnsi="Arial Narrow"/>
            <w:bCs/>
            <w:noProof/>
            <w:sz w:val="16"/>
            <w:szCs w:val="16"/>
          </w:rPr>
          <w:t>6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FC2" w:rsidRDefault="002C6FC2" w:rsidP="00947344">
      <w:pPr>
        <w:spacing w:after="0" w:line="240" w:lineRule="auto"/>
      </w:pPr>
      <w:r>
        <w:separator/>
      </w:r>
    </w:p>
  </w:footnote>
  <w:footnote w:type="continuationSeparator" w:id="0">
    <w:p w:rsidR="002C6FC2" w:rsidRDefault="002C6FC2" w:rsidP="00947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C2" w:rsidRDefault="002C6FC2">
    <w:pPr>
      <w:pStyle w:val="Cabealho"/>
    </w:pPr>
    <w:r w:rsidRPr="00947344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511B822E" wp14:editId="275DEDB0">
          <wp:simplePos x="0" y="0"/>
          <wp:positionH relativeFrom="column">
            <wp:posOffset>5211445</wp:posOffset>
          </wp:positionH>
          <wp:positionV relativeFrom="paragraph">
            <wp:posOffset>-192405</wp:posOffset>
          </wp:positionV>
          <wp:extent cx="1035050" cy="4064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7344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9743DA5" wp14:editId="5B6DD26F">
          <wp:simplePos x="0" y="0"/>
          <wp:positionH relativeFrom="column">
            <wp:posOffset>230505</wp:posOffset>
          </wp:positionH>
          <wp:positionV relativeFrom="paragraph">
            <wp:posOffset>-191770</wp:posOffset>
          </wp:positionV>
          <wp:extent cx="1225550" cy="3854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1980"/>
    <w:multiLevelType w:val="hybridMultilevel"/>
    <w:tmpl w:val="B7CA6892"/>
    <w:lvl w:ilvl="0" w:tplc="C45807D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B529C"/>
    <w:multiLevelType w:val="hybridMultilevel"/>
    <w:tmpl w:val="3334D1E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F6824"/>
    <w:multiLevelType w:val="hybridMultilevel"/>
    <w:tmpl w:val="53FE9B74"/>
    <w:lvl w:ilvl="0" w:tplc="08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9A01BA"/>
    <w:multiLevelType w:val="hybridMultilevel"/>
    <w:tmpl w:val="C31808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76BCF"/>
    <w:multiLevelType w:val="hybridMultilevel"/>
    <w:tmpl w:val="E920060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E24AE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0C3D3F15"/>
    <w:multiLevelType w:val="hybridMultilevel"/>
    <w:tmpl w:val="6AF834BA"/>
    <w:lvl w:ilvl="0" w:tplc="2974D3F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825F85"/>
    <w:multiLevelType w:val="hybridMultilevel"/>
    <w:tmpl w:val="C76E4104"/>
    <w:lvl w:ilvl="0" w:tplc="BF967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D1CEB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28A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C76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283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768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C7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889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CC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6246CA"/>
    <w:multiLevelType w:val="hybridMultilevel"/>
    <w:tmpl w:val="F36E591E"/>
    <w:lvl w:ilvl="0" w:tplc="08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3534B"/>
    <w:multiLevelType w:val="hybridMultilevel"/>
    <w:tmpl w:val="6C4E7308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E3924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 w15:restartNumberingAfterBreak="0">
    <w:nsid w:val="213A6F12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BE0660"/>
    <w:multiLevelType w:val="hybridMultilevel"/>
    <w:tmpl w:val="5F441AD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B43C8"/>
    <w:multiLevelType w:val="hybridMultilevel"/>
    <w:tmpl w:val="D3D65EB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D982ECD2">
      <w:start w:val="1"/>
      <w:numFmt w:val="lowerLetter"/>
      <w:lvlText w:val="%3)"/>
      <w:lvlJc w:val="left"/>
      <w:pPr>
        <w:ind w:left="2670" w:hanging="690"/>
      </w:pPr>
      <w:rPr>
        <w:rFonts w:hint="default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FB2727"/>
    <w:multiLevelType w:val="hybridMultilevel"/>
    <w:tmpl w:val="20AE182C"/>
    <w:lvl w:ilvl="0" w:tplc="53903D1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2F2D0D89"/>
    <w:multiLevelType w:val="hybridMultilevel"/>
    <w:tmpl w:val="DB5CE0C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E7B7F"/>
    <w:multiLevelType w:val="hybridMultilevel"/>
    <w:tmpl w:val="2F2AA3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82495"/>
    <w:multiLevelType w:val="hybridMultilevel"/>
    <w:tmpl w:val="57804004"/>
    <w:lvl w:ilvl="0" w:tplc="641E2E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2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82DC3"/>
    <w:multiLevelType w:val="hybridMultilevel"/>
    <w:tmpl w:val="976C7A3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3B26CC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7A21B8"/>
    <w:multiLevelType w:val="multilevel"/>
    <w:tmpl w:val="7CAC78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523032E"/>
    <w:multiLevelType w:val="hybridMultilevel"/>
    <w:tmpl w:val="2FA40A48"/>
    <w:lvl w:ilvl="0" w:tplc="9530BCB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sz w:val="16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45DD003D"/>
    <w:multiLevelType w:val="hybridMultilevel"/>
    <w:tmpl w:val="8F228C7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405D2"/>
    <w:multiLevelType w:val="hybridMultilevel"/>
    <w:tmpl w:val="9ED83302"/>
    <w:lvl w:ilvl="0" w:tplc="9558F70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7D2CC5"/>
    <w:multiLevelType w:val="hybridMultilevel"/>
    <w:tmpl w:val="6AF834BA"/>
    <w:lvl w:ilvl="0" w:tplc="2974D3FE">
      <w:start w:val="1"/>
      <w:numFmt w:val="lowerLetter"/>
      <w:lvlText w:val="%1)"/>
      <w:lvlJc w:val="left"/>
      <w:pPr>
        <w:ind w:left="988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 w15:restartNumberingAfterBreak="0">
    <w:nsid w:val="512F31B5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6" w15:restartNumberingAfterBreak="0">
    <w:nsid w:val="56C4531C"/>
    <w:multiLevelType w:val="hybridMultilevel"/>
    <w:tmpl w:val="3334D1E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756EC"/>
    <w:multiLevelType w:val="hybridMultilevel"/>
    <w:tmpl w:val="8EA25F9A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E5C31"/>
    <w:multiLevelType w:val="hybridMultilevel"/>
    <w:tmpl w:val="9D40152E"/>
    <w:lvl w:ilvl="0" w:tplc="ABCE9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E2170B"/>
    <w:multiLevelType w:val="hybridMultilevel"/>
    <w:tmpl w:val="84485322"/>
    <w:lvl w:ilvl="0" w:tplc="F4668C0E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E3C6257"/>
    <w:multiLevelType w:val="hybridMultilevel"/>
    <w:tmpl w:val="07CA408A"/>
    <w:lvl w:ilvl="0" w:tplc="A38250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11AAC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5A6BAE"/>
    <w:multiLevelType w:val="hybridMultilevel"/>
    <w:tmpl w:val="8A2C4362"/>
    <w:lvl w:ilvl="0" w:tplc="700CFE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231B7"/>
    <w:multiLevelType w:val="hybridMultilevel"/>
    <w:tmpl w:val="CB04CF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A7448"/>
    <w:multiLevelType w:val="hybridMultilevel"/>
    <w:tmpl w:val="21D4073A"/>
    <w:lvl w:ilvl="0" w:tplc="B4387584">
      <w:start w:val="1"/>
      <w:numFmt w:val="bullet"/>
      <w:pStyle w:val="bu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053421"/>
    <w:multiLevelType w:val="hybridMultilevel"/>
    <w:tmpl w:val="377844C4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99425AE"/>
    <w:multiLevelType w:val="hybridMultilevel"/>
    <w:tmpl w:val="431A8A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1A178B"/>
    <w:multiLevelType w:val="hybridMultilevel"/>
    <w:tmpl w:val="291C98B0"/>
    <w:lvl w:ilvl="0" w:tplc="D3BEDF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955BC"/>
    <w:multiLevelType w:val="hybridMultilevel"/>
    <w:tmpl w:val="04129A20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022BA6"/>
    <w:multiLevelType w:val="hybridMultilevel"/>
    <w:tmpl w:val="7B90C2B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2422E1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CD2695C"/>
    <w:multiLevelType w:val="hybridMultilevel"/>
    <w:tmpl w:val="0AB2AC38"/>
    <w:lvl w:ilvl="0" w:tplc="9064BF14">
      <w:start w:val="1"/>
      <w:numFmt w:val="upperLetter"/>
      <w:lvlText w:val="%1-"/>
      <w:lvlJc w:val="left"/>
      <w:pPr>
        <w:ind w:left="720" w:hanging="360"/>
      </w:pPr>
      <w:rPr>
        <w:rFonts w:ascii="Arial Narrow" w:eastAsia="Calibri" w:hAnsi="Arial Narrow" w:cstheme="minorBidi" w:hint="default"/>
        <w:color w:val="auto"/>
        <w:sz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1"/>
  </w:num>
  <w:num w:numId="3">
    <w:abstractNumId w:val="24"/>
  </w:num>
  <w:num w:numId="4">
    <w:abstractNumId w:val="26"/>
  </w:num>
  <w:num w:numId="5">
    <w:abstractNumId w:val="30"/>
  </w:num>
  <w:num w:numId="6">
    <w:abstractNumId w:val="27"/>
  </w:num>
  <w:num w:numId="7">
    <w:abstractNumId w:val="1"/>
  </w:num>
  <w:num w:numId="8">
    <w:abstractNumId w:val="34"/>
  </w:num>
  <w:num w:numId="9">
    <w:abstractNumId w:val="29"/>
  </w:num>
  <w:num w:numId="10">
    <w:abstractNumId w:val="6"/>
  </w:num>
  <w:num w:numId="11">
    <w:abstractNumId w:val="35"/>
  </w:num>
  <w:num w:numId="12">
    <w:abstractNumId w:val="22"/>
  </w:num>
  <w:num w:numId="13">
    <w:abstractNumId w:val="13"/>
  </w:num>
  <w:num w:numId="14">
    <w:abstractNumId w:val="4"/>
  </w:num>
  <w:num w:numId="15">
    <w:abstractNumId w:val="19"/>
  </w:num>
  <w:num w:numId="16">
    <w:abstractNumId w:val="40"/>
  </w:num>
  <w:num w:numId="17">
    <w:abstractNumId w:val="32"/>
  </w:num>
  <w:num w:numId="18">
    <w:abstractNumId w:val="17"/>
  </w:num>
  <w:num w:numId="19">
    <w:abstractNumId w:val="15"/>
  </w:num>
  <w:num w:numId="20">
    <w:abstractNumId w:val="36"/>
  </w:num>
  <w:num w:numId="21">
    <w:abstractNumId w:val="18"/>
  </w:num>
  <w:num w:numId="22">
    <w:abstractNumId w:val="16"/>
  </w:num>
  <w:num w:numId="23">
    <w:abstractNumId w:val="12"/>
  </w:num>
  <w:num w:numId="24">
    <w:abstractNumId w:val="37"/>
  </w:num>
  <w:num w:numId="25">
    <w:abstractNumId w:val="33"/>
  </w:num>
  <w:num w:numId="26">
    <w:abstractNumId w:val="28"/>
  </w:num>
  <w:num w:numId="27">
    <w:abstractNumId w:val="9"/>
  </w:num>
  <w:num w:numId="28">
    <w:abstractNumId w:val="39"/>
  </w:num>
  <w:num w:numId="29">
    <w:abstractNumId w:val="3"/>
  </w:num>
  <w:num w:numId="30">
    <w:abstractNumId w:val="41"/>
  </w:num>
  <w:num w:numId="31">
    <w:abstractNumId w:val="38"/>
  </w:num>
  <w:num w:numId="32">
    <w:abstractNumId w:val="0"/>
  </w:num>
  <w:num w:numId="33">
    <w:abstractNumId w:val="11"/>
  </w:num>
  <w:num w:numId="34">
    <w:abstractNumId w:val="23"/>
  </w:num>
  <w:num w:numId="35">
    <w:abstractNumId w:val="21"/>
  </w:num>
  <w:num w:numId="36">
    <w:abstractNumId w:val="5"/>
  </w:num>
  <w:num w:numId="37">
    <w:abstractNumId w:val="25"/>
  </w:num>
  <w:num w:numId="38">
    <w:abstractNumId w:val="10"/>
  </w:num>
  <w:num w:numId="39">
    <w:abstractNumId w:val="2"/>
  </w:num>
  <w:num w:numId="40">
    <w:abstractNumId w:val="8"/>
  </w:num>
  <w:num w:numId="41">
    <w:abstractNumId w:val="20"/>
  </w:num>
  <w:num w:numId="42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F3C"/>
    <w:rsid w:val="00000C17"/>
    <w:rsid w:val="00004978"/>
    <w:rsid w:val="00012E92"/>
    <w:rsid w:val="00015C9A"/>
    <w:rsid w:val="00024FB3"/>
    <w:rsid w:val="000265BB"/>
    <w:rsid w:val="00027997"/>
    <w:rsid w:val="0003222B"/>
    <w:rsid w:val="00032A36"/>
    <w:rsid w:val="00034919"/>
    <w:rsid w:val="00040B17"/>
    <w:rsid w:val="00046181"/>
    <w:rsid w:val="00047D2C"/>
    <w:rsid w:val="00051407"/>
    <w:rsid w:val="0005342E"/>
    <w:rsid w:val="00053987"/>
    <w:rsid w:val="000554E6"/>
    <w:rsid w:val="000714FB"/>
    <w:rsid w:val="00074FE0"/>
    <w:rsid w:val="000903BF"/>
    <w:rsid w:val="000A3143"/>
    <w:rsid w:val="000A4834"/>
    <w:rsid w:val="000A66FC"/>
    <w:rsid w:val="000A67CC"/>
    <w:rsid w:val="000B1044"/>
    <w:rsid w:val="000B437A"/>
    <w:rsid w:val="000B4BDE"/>
    <w:rsid w:val="000C65A8"/>
    <w:rsid w:val="000E4D86"/>
    <w:rsid w:val="000E6CBD"/>
    <w:rsid w:val="00101C4B"/>
    <w:rsid w:val="00101D48"/>
    <w:rsid w:val="00102EA4"/>
    <w:rsid w:val="001146A4"/>
    <w:rsid w:val="00115425"/>
    <w:rsid w:val="00120A32"/>
    <w:rsid w:val="0013414C"/>
    <w:rsid w:val="00144E28"/>
    <w:rsid w:val="001453FC"/>
    <w:rsid w:val="00147BA6"/>
    <w:rsid w:val="00157D26"/>
    <w:rsid w:val="001606B8"/>
    <w:rsid w:val="00165890"/>
    <w:rsid w:val="00186103"/>
    <w:rsid w:val="00187231"/>
    <w:rsid w:val="0019186D"/>
    <w:rsid w:val="00192117"/>
    <w:rsid w:val="00197F87"/>
    <w:rsid w:val="001A3334"/>
    <w:rsid w:val="001B461D"/>
    <w:rsid w:val="001B573E"/>
    <w:rsid w:val="001C4C08"/>
    <w:rsid w:val="001C72BC"/>
    <w:rsid w:val="001C76AC"/>
    <w:rsid w:val="001D253F"/>
    <w:rsid w:val="001D7487"/>
    <w:rsid w:val="001F0008"/>
    <w:rsid w:val="00213722"/>
    <w:rsid w:val="00213E97"/>
    <w:rsid w:val="002225B4"/>
    <w:rsid w:val="00224E15"/>
    <w:rsid w:val="002274E9"/>
    <w:rsid w:val="00235501"/>
    <w:rsid w:val="00235CA8"/>
    <w:rsid w:val="00241930"/>
    <w:rsid w:val="00242960"/>
    <w:rsid w:val="002436D2"/>
    <w:rsid w:val="00247BBD"/>
    <w:rsid w:val="00250775"/>
    <w:rsid w:val="0025161E"/>
    <w:rsid w:val="0025218F"/>
    <w:rsid w:val="002526A1"/>
    <w:rsid w:val="00261A9D"/>
    <w:rsid w:val="00263C07"/>
    <w:rsid w:val="002662D2"/>
    <w:rsid w:val="00267158"/>
    <w:rsid w:val="00274362"/>
    <w:rsid w:val="00274D0A"/>
    <w:rsid w:val="002907B5"/>
    <w:rsid w:val="002928D5"/>
    <w:rsid w:val="002B1D4F"/>
    <w:rsid w:val="002B3B68"/>
    <w:rsid w:val="002C20E5"/>
    <w:rsid w:val="002C3B4E"/>
    <w:rsid w:val="002C6FC2"/>
    <w:rsid w:val="002D5E0E"/>
    <w:rsid w:val="002E1463"/>
    <w:rsid w:val="002E164E"/>
    <w:rsid w:val="002E2C92"/>
    <w:rsid w:val="002E5022"/>
    <w:rsid w:val="002F2788"/>
    <w:rsid w:val="002F5B39"/>
    <w:rsid w:val="003006C2"/>
    <w:rsid w:val="00301504"/>
    <w:rsid w:val="00301EB4"/>
    <w:rsid w:val="003075DE"/>
    <w:rsid w:val="003128E6"/>
    <w:rsid w:val="00317CD3"/>
    <w:rsid w:val="00322153"/>
    <w:rsid w:val="00331BFA"/>
    <w:rsid w:val="003402E7"/>
    <w:rsid w:val="00343207"/>
    <w:rsid w:val="0034718F"/>
    <w:rsid w:val="00347D95"/>
    <w:rsid w:val="0035254B"/>
    <w:rsid w:val="00354811"/>
    <w:rsid w:val="00355C69"/>
    <w:rsid w:val="003567DD"/>
    <w:rsid w:val="00360717"/>
    <w:rsid w:val="00363347"/>
    <w:rsid w:val="003636F9"/>
    <w:rsid w:val="00380966"/>
    <w:rsid w:val="003A320B"/>
    <w:rsid w:val="003D41C4"/>
    <w:rsid w:val="003D435F"/>
    <w:rsid w:val="003E5944"/>
    <w:rsid w:val="003F02CE"/>
    <w:rsid w:val="003F55B3"/>
    <w:rsid w:val="003F620A"/>
    <w:rsid w:val="003F75F2"/>
    <w:rsid w:val="003F7A9E"/>
    <w:rsid w:val="00400C32"/>
    <w:rsid w:val="00402465"/>
    <w:rsid w:val="00422F48"/>
    <w:rsid w:val="00423452"/>
    <w:rsid w:val="00432989"/>
    <w:rsid w:val="00433E61"/>
    <w:rsid w:val="00435AB6"/>
    <w:rsid w:val="00437591"/>
    <w:rsid w:val="00437A46"/>
    <w:rsid w:val="00441DA4"/>
    <w:rsid w:val="00442659"/>
    <w:rsid w:val="004519E6"/>
    <w:rsid w:val="00454F2B"/>
    <w:rsid w:val="00462ADE"/>
    <w:rsid w:val="00464C0F"/>
    <w:rsid w:val="004707DC"/>
    <w:rsid w:val="004714D2"/>
    <w:rsid w:val="00476FEC"/>
    <w:rsid w:val="00487406"/>
    <w:rsid w:val="00495381"/>
    <w:rsid w:val="0049676F"/>
    <w:rsid w:val="00497867"/>
    <w:rsid w:val="004A4100"/>
    <w:rsid w:val="004A525D"/>
    <w:rsid w:val="004A59F3"/>
    <w:rsid w:val="004C1A14"/>
    <w:rsid w:val="004C5509"/>
    <w:rsid w:val="004C62C5"/>
    <w:rsid w:val="004E0805"/>
    <w:rsid w:val="00512AB7"/>
    <w:rsid w:val="00512E2E"/>
    <w:rsid w:val="00513563"/>
    <w:rsid w:val="00523597"/>
    <w:rsid w:val="005275EC"/>
    <w:rsid w:val="00530B4E"/>
    <w:rsid w:val="00532E66"/>
    <w:rsid w:val="005360DC"/>
    <w:rsid w:val="00536D81"/>
    <w:rsid w:val="00540A59"/>
    <w:rsid w:val="00556809"/>
    <w:rsid w:val="00556A4C"/>
    <w:rsid w:val="00557F44"/>
    <w:rsid w:val="00564E36"/>
    <w:rsid w:val="005659B4"/>
    <w:rsid w:val="00566924"/>
    <w:rsid w:val="00566FF9"/>
    <w:rsid w:val="005711AD"/>
    <w:rsid w:val="00573E56"/>
    <w:rsid w:val="005745A7"/>
    <w:rsid w:val="00580971"/>
    <w:rsid w:val="005877B3"/>
    <w:rsid w:val="00590433"/>
    <w:rsid w:val="005969F3"/>
    <w:rsid w:val="005A39C5"/>
    <w:rsid w:val="005A546C"/>
    <w:rsid w:val="005B1D38"/>
    <w:rsid w:val="005C2677"/>
    <w:rsid w:val="005C3622"/>
    <w:rsid w:val="005C6A2F"/>
    <w:rsid w:val="005D282E"/>
    <w:rsid w:val="005D4A4C"/>
    <w:rsid w:val="005D7146"/>
    <w:rsid w:val="005D73A8"/>
    <w:rsid w:val="005D73CC"/>
    <w:rsid w:val="005E05B6"/>
    <w:rsid w:val="005E5801"/>
    <w:rsid w:val="005F015B"/>
    <w:rsid w:val="005F0246"/>
    <w:rsid w:val="00600E82"/>
    <w:rsid w:val="00603557"/>
    <w:rsid w:val="0060531D"/>
    <w:rsid w:val="00605B66"/>
    <w:rsid w:val="00606BC9"/>
    <w:rsid w:val="006070C1"/>
    <w:rsid w:val="0061189D"/>
    <w:rsid w:val="006149AA"/>
    <w:rsid w:val="00616014"/>
    <w:rsid w:val="00617A04"/>
    <w:rsid w:val="006270A7"/>
    <w:rsid w:val="0064131D"/>
    <w:rsid w:val="006419AA"/>
    <w:rsid w:val="006428AC"/>
    <w:rsid w:val="00647A3D"/>
    <w:rsid w:val="00650E96"/>
    <w:rsid w:val="00656C96"/>
    <w:rsid w:val="00660E7C"/>
    <w:rsid w:val="00662299"/>
    <w:rsid w:val="0066469C"/>
    <w:rsid w:val="00666781"/>
    <w:rsid w:val="006676C2"/>
    <w:rsid w:val="00672C23"/>
    <w:rsid w:val="00674635"/>
    <w:rsid w:val="0068238F"/>
    <w:rsid w:val="006868C4"/>
    <w:rsid w:val="00690327"/>
    <w:rsid w:val="0069285B"/>
    <w:rsid w:val="00693AC5"/>
    <w:rsid w:val="006969BE"/>
    <w:rsid w:val="00697259"/>
    <w:rsid w:val="006A1276"/>
    <w:rsid w:val="006A1E57"/>
    <w:rsid w:val="006A2F34"/>
    <w:rsid w:val="006A7F12"/>
    <w:rsid w:val="006B0311"/>
    <w:rsid w:val="006B2EBA"/>
    <w:rsid w:val="006B50B0"/>
    <w:rsid w:val="006C7EC5"/>
    <w:rsid w:val="006D168B"/>
    <w:rsid w:val="006D336A"/>
    <w:rsid w:val="006D3BC4"/>
    <w:rsid w:val="006D4FF5"/>
    <w:rsid w:val="006F0715"/>
    <w:rsid w:val="006F660C"/>
    <w:rsid w:val="006F72B8"/>
    <w:rsid w:val="00710052"/>
    <w:rsid w:val="00712A44"/>
    <w:rsid w:val="00712EAE"/>
    <w:rsid w:val="00713543"/>
    <w:rsid w:val="007166C2"/>
    <w:rsid w:val="00717081"/>
    <w:rsid w:val="00717B03"/>
    <w:rsid w:val="007200E3"/>
    <w:rsid w:val="00725513"/>
    <w:rsid w:val="00731811"/>
    <w:rsid w:val="0073270B"/>
    <w:rsid w:val="007369FE"/>
    <w:rsid w:val="00743929"/>
    <w:rsid w:val="00746F42"/>
    <w:rsid w:val="00751C61"/>
    <w:rsid w:val="00756EE1"/>
    <w:rsid w:val="0076420E"/>
    <w:rsid w:val="00766326"/>
    <w:rsid w:val="007702AC"/>
    <w:rsid w:val="00774C9B"/>
    <w:rsid w:val="007809F8"/>
    <w:rsid w:val="007864A0"/>
    <w:rsid w:val="00786E80"/>
    <w:rsid w:val="00796AD7"/>
    <w:rsid w:val="007A0F15"/>
    <w:rsid w:val="007B44BF"/>
    <w:rsid w:val="007C3B69"/>
    <w:rsid w:val="007C4263"/>
    <w:rsid w:val="007D38EB"/>
    <w:rsid w:val="007E202C"/>
    <w:rsid w:val="007E2ABC"/>
    <w:rsid w:val="007E6B23"/>
    <w:rsid w:val="007F7CA6"/>
    <w:rsid w:val="00800987"/>
    <w:rsid w:val="00803A2E"/>
    <w:rsid w:val="008059BF"/>
    <w:rsid w:val="00806A49"/>
    <w:rsid w:val="00806E5A"/>
    <w:rsid w:val="00811371"/>
    <w:rsid w:val="0083052C"/>
    <w:rsid w:val="0083083D"/>
    <w:rsid w:val="00835F3E"/>
    <w:rsid w:val="00846D32"/>
    <w:rsid w:val="00846E35"/>
    <w:rsid w:val="00856CC4"/>
    <w:rsid w:val="00866D74"/>
    <w:rsid w:val="0088447B"/>
    <w:rsid w:val="008873FF"/>
    <w:rsid w:val="0088771A"/>
    <w:rsid w:val="0089314C"/>
    <w:rsid w:val="008943EC"/>
    <w:rsid w:val="008A4E2C"/>
    <w:rsid w:val="008A6163"/>
    <w:rsid w:val="008A62A4"/>
    <w:rsid w:val="008A72D4"/>
    <w:rsid w:val="008C212B"/>
    <w:rsid w:val="008D3D12"/>
    <w:rsid w:val="008E25C4"/>
    <w:rsid w:val="008E34D4"/>
    <w:rsid w:val="008E7253"/>
    <w:rsid w:val="008F1164"/>
    <w:rsid w:val="008F1C4F"/>
    <w:rsid w:val="008F1D19"/>
    <w:rsid w:val="008F2BEC"/>
    <w:rsid w:val="008F7CBD"/>
    <w:rsid w:val="008F7D41"/>
    <w:rsid w:val="009005C9"/>
    <w:rsid w:val="0090219F"/>
    <w:rsid w:val="0090224D"/>
    <w:rsid w:val="00921038"/>
    <w:rsid w:val="00921B0F"/>
    <w:rsid w:val="0092329C"/>
    <w:rsid w:val="0092689D"/>
    <w:rsid w:val="009273E2"/>
    <w:rsid w:val="00927693"/>
    <w:rsid w:val="00927E37"/>
    <w:rsid w:val="00933481"/>
    <w:rsid w:val="00942DCB"/>
    <w:rsid w:val="00944D2F"/>
    <w:rsid w:val="00947344"/>
    <w:rsid w:val="00953284"/>
    <w:rsid w:val="009532E4"/>
    <w:rsid w:val="0095344E"/>
    <w:rsid w:val="009538CF"/>
    <w:rsid w:val="00956105"/>
    <w:rsid w:val="0096259C"/>
    <w:rsid w:val="00980869"/>
    <w:rsid w:val="009903E8"/>
    <w:rsid w:val="009929F9"/>
    <w:rsid w:val="009A7167"/>
    <w:rsid w:val="009B2A69"/>
    <w:rsid w:val="009B5DF0"/>
    <w:rsid w:val="009B799C"/>
    <w:rsid w:val="009C0DD0"/>
    <w:rsid w:val="009C4C2F"/>
    <w:rsid w:val="009E28D5"/>
    <w:rsid w:val="009F0C1D"/>
    <w:rsid w:val="009F1D69"/>
    <w:rsid w:val="009F6A3E"/>
    <w:rsid w:val="009F78D2"/>
    <w:rsid w:val="00A0347E"/>
    <w:rsid w:val="00A2067E"/>
    <w:rsid w:val="00A211D8"/>
    <w:rsid w:val="00A2660B"/>
    <w:rsid w:val="00A33CE2"/>
    <w:rsid w:val="00A35D14"/>
    <w:rsid w:val="00A40057"/>
    <w:rsid w:val="00A40CCB"/>
    <w:rsid w:val="00A427B1"/>
    <w:rsid w:val="00A42BB8"/>
    <w:rsid w:val="00A4395F"/>
    <w:rsid w:val="00A5286E"/>
    <w:rsid w:val="00A5353F"/>
    <w:rsid w:val="00A55172"/>
    <w:rsid w:val="00A70463"/>
    <w:rsid w:val="00A70BD2"/>
    <w:rsid w:val="00A7335C"/>
    <w:rsid w:val="00A73818"/>
    <w:rsid w:val="00A76547"/>
    <w:rsid w:val="00A83CA4"/>
    <w:rsid w:val="00A8541F"/>
    <w:rsid w:val="00A855C8"/>
    <w:rsid w:val="00A92116"/>
    <w:rsid w:val="00AA5BC2"/>
    <w:rsid w:val="00AB1B26"/>
    <w:rsid w:val="00AB7A68"/>
    <w:rsid w:val="00AC0F70"/>
    <w:rsid w:val="00AC1781"/>
    <w:rsid w:val="00AC24C6"/>
    <w:rsid w:val="00AC40F9"/>
    <w:rsid w:val="00AC464A"/>
    <w:rsid w:val="00AC5DFE"/>
    <w:rsid w:val="00AC6D55"/>
    <w:rsid w:val="00AC7F6E"/>
    <w:rsid w:val="00AD1ED5"/>
    <w:rsid w:val="00AD6253"/>
    <w:rsid w:val="00AE4CD0"/>
    <w:rsid w:val="00B12AC7"/>
    <w:rsid w:val="00B16517"/>
    <w:rsid w:val="00B23D16"/>
    <w:rsid w:val="00B24E22"/>
    <w:rsid w:val="00B26798"/>
    <w:rsid w:val="00B3135F"/>
    <w:rsid w:val="00B364A9"/>
    <w:rsid w:val="00B417ED"/>
    <w:rsid w:val="00B42E6F"/>
    <w:rsid w:val="00B46F28"/>
    <w:rsid w:val="00B47FEC"/>
    <w:rsid w:val="00B61579"/>
    <w:rsid w:val="00B625DD"/>
    <w:rsid w:val="00B6328B"/>
    <w:rsid w:val="00B67116"/>
    <w:rsid w:val="00B743D4"/>
    <w:rsid w:val="00B75FD8"/>
    <w:rsid w:val="00B86B71"/>
    <w:rsid w:val="00B901B1"/>
    <w:rsid w:val="00B9135C"/>
    <w:rsid w:val="00B91951"/>
    <w:rsid w:val="00B929CE"/>
    <w:rsid w:val="00B93A05"/>
    <w:rsid w:val="00B95B33"/>
    <w:rsid w:val="00BA14F4"/>
    <w:rsid w:val="00BB09FD"/>
    <w:rsid w:val="00BB42ED"/>
    <w:rsid w:val="00BB47CD"/>
    <w:rsid w:val="00BB5692"/>
    <w:rsid w:val="00BB76A7"/>
    <w:rsid w:val="00BB7C96"/>
    <w:rsid w:val="00BC3356"/>
    <w:rsid w:val="00BC50C8"/>
    <w:rsid w:val="00BC558A"/>
    <w:rsid w:val="00BC5A19"/>
    <w:rsid w:val="00BD0986"/>
    <w:rsid w:val="00BD19C0"/>
    <w:rsid w:val="00BD2ED3"/>
    <w:rsid w:val="00BD4CA4"/>
    <w:rsid w:val="00BF152B"/>
    <w:rsid w:val="00C01148"/>
    <w:rsid w:val="00C02334"/>
    <w:rsid w:val="00C0298C"/>
    <w:rsid w:val="00C05C3C"/>
    <w:rsid w:val="00C1081E"/>
    <w:rsid w:val="00C11C90"/>
    <w:rsid w:val="00C162D3"/>
    <w:rsid w:val="00C22FFC"/>
    <w:rsid w:val="00C3270B"/>
    <w:rsid w:val="00C34585"/>
    <w:rsid w:val="00C446D4"/>
    <w:rsid w:val="00C472C9"/>
    <w:rsid w:val="00C54169"/>
    <w:rsid w:val="00C574E7"/>
    <w:rsid w:val="00C627AA"/>
    <w:rsid w:val="00C654CE"/>
    <w:rsid w:val="00C66189"/>
    <w:rsid w:val="00C67A5D"/>
    <w:rsid w:val="00C84304"/>
    <w:rsid w:val="00C874E4"/>
    <w:rsid w:val="00C95592"/>
    <w:rsid w:val="00C97C4F"/>
    <w:rsid w:val="00CA1BEF"/>
    <w:rsid w:val="00CB205A"/>
    <w:rsid w:val="00CC06E0"/>
    <w:rsid w:val="00CC79F9"/>
    <w:rsid w:val="00CD217E"/>
    <w:rsid w:val="00CD2523"/>
    <w:rsid w:val="00CD34DF"/>
    <w:rsid w:val="00CD3682"/>
    <w:rsid w:val="00CE1E75"/>
    <w:rsid w:val="00CE232A"/>
    <w:rsid w:val="00CF00D8"/>
    <w:rsid w:val="00D043AA"/>
    <w:rsid w:val="00D0633B"/>
    <w:rsid w:val="00D11A1D"/>
    <w:rsid w:val="00D2019A"/>
    <w:rsid w:val="00D26EAB"/>
    <w:rsid w:val="00D4240B"/>
    <w:rsid w:val="00D46FFF"/>
    <w:rsid w:val="00D567F9"/>
    <w:rsid w:val="00D57D4C"/>
    <w:rsid w:val="00D60629"/>
    <w:rsid w:val="00D615F5"/>
    <w:rsid w:val="00D62461"/>
    <w:rsid w:val="00D63E43"/>
    <w:rsid w:val="00D64025"/>
    <w:rsid w:val="00D73F0F"/>
    <w:rsid w:val="00D73F3B"/>
    <w:rsid w:val="00D837B9"/>
    <w:rsid w:val="00D91FA5"/>
    <w:rsid w:val="00D92380"/>
    <w:rsid w:val="00D93883"/>
    <w:rsid w:val="00D97A4C"/>
    <w:rsid w:val="00DA1553"/>
    <w:rsid w:val="00DA4388"/>
    <w:rsid w:val="00DA4AC5"/>
    <w:rsid w:val="00DA60A4"/>
    <w:rsid w:val="00DA7654"/>
    <w:rsid w:val="00DB0325"/>
    <w:rsid w:val="00DB28D9"/>
    <w:rsid w:val="00DB4946"/>
    <w:rsid w:val="00DC5096"/>
    <w:rsid w:val="00DD3FA8"/>
    <w:rsid w:val="00DD6168"/>
    <w:rsid w:val="00DD726A"/>
    <w:rsid w:val="00DE2EFF"/>
    <w:rsid w:val="00DF6C8B"/>
    <w:rsid w:val="00E00B76"/>
    <w:rsid w:val="00E01A0D"/>
    <w:rsid w:val="00E05A45"/>
    <w:rsid w:val="00E06925"/>
    <w:rsid w:val="00E126E3"/>
    <w:rsid w:val="00E13981"/>
    <w:rsid w:val="00E16982"/>
    <w:rsid w:val="00E16CF8"/>
    <w:rsid w:val="00E20820"/>
    <w:rsid w:val="00E212BC"/>
    <w:rsid w:val="00E30B48"/>
    <w:rsid w:val="00E33206"/>
    <w:rsid w:val="00E41E1F"/>
    <w:rsid w:val="00E4279F"/>
    <w:rsid w:val="00E5235B"/>
    <w:rsid w:val="00E5429A"/>
    <w:rsid w:val="00E54454"/>
    <w:rsid w:val="00E56B81"/>
    <w:rsid w:val="00E630DB"/>
    <w:rsid w:val="00E70C18"/>
    <w:rsid w:val="00E70DA2"/>
    <w:rsid w:val="00E76E30"/>
    <w:rsid w:val="00E80B3E"/>
    <w:rsid w:val="00E835D1"/>
    <w:rsid w:val="00E8450A"/>
    <w:rsid w:val="00EA4032"/>
    <w:rsid w:val="00EB30A0"/>
    <w:rsid w:val="00EB55CE"/>
    <w:rsid w:val="00ED1F4B"/>
    <w:rsid w:val="00ED2338"/>
    <w:rsid w:val="00ED298D"/>
    <w:rsid w:val="00ED5FEE"/>
    <w:rsid w:val="00EE15BA"/>
    <w:rsid w:val="00EE31B7"/>
    <w:rsid w:val="00EE4F4F"/>
    <w:rsid w:val="00EF08F6"/>
    <w:rsid w:val="00EF3297"/>
    <w:rsid w:val="00EF4290"/>
    <w:rsid w:val="00EF7C4F"/>
    <w:rsid w:val="00F001F1"/>
    <w:rsid w:val="00F001F3"/>
    <w:rsid w:val="00F03087"/>
    <w:rsid w:val="00F0381A"/>
    <w:rsid w:val="00F04BFB"/>
    <w:rsid w:val="00F0709C"/>
    <w:rsid w:val="00F16966"/>
    <w:rsid w:val="00F17387"/>
    <w:rsid w:val="00F3795A"/>
    <w:rsid w:val="00F408AE"/>
    <w:rsid w:val="00F43849"/>
    <w:rsid w:val="00F44574"/>
    <w:rsid w:val="00F4681F"/>
    <w:rsid w:val="00F56F3C"/>
    <w:rsid w:val="00F61144"/>
    <w:rsid w:val="00F63A63"/>
    <w:rsid w:val="00F659FE"/>
    <w:rsid w:val="00F668E8"/>
    <w:rsid w:val="00F75F4D"/>
    <w:rsid w:val="00F80397"/>
    <w:rsid w:val="00F82364"/>
    <w:rsid w:val="00F85EC5"/>
    <w:rsid w:val="00F87A03"/>
    <w:rsid w:val="00FA019C"/>
    <w:rsid w:val="00FA0FEA"/>
    <w:rsid w:val="00FA4184"/>
    <w:rsid w:val="00FA46E4"/>
    <w:rsid w:val="00FA4916"/>
    <w:rsid w:val="00FA7D69"/>
    <w:rsid w:val="00FD0027"/>
    <w:rsid w:val="00FD002E"/>
    <w:rsid w:val="00FE1C37"/>
    <w:rsid w:val="00FE441C"/>
    <w:rsid w:val="00FE7B5C"/>
    <w:rsid w:val="00FF4579"/>
    <w:rsid w:val="00FF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DC3AE"/>
  <w15:docId w15:val="{5D446107-3021-49EF-946B-0E5DD315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qFormat/>
    <w:rsid w:val="0089314C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536D8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35A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B799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Cabealho">
    <w:name w:val="header"/>
    <w:basedOn w:val="Normal"/>
    <w:link w:val="CabealhoCarter"/>
    <w:uiPriority w:val="99"/>
    <w:unhideWhenUsed/>
    <w:rsid w:val="00947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47344"/>
  </w:style>
  <w:style w:type="paragraph" w:styleId="Rodap">
    <w:name w:val="footer"/>
    <w:basedOn w:val="Normal"/>
    <w:link w:val="RodapCarter"/>
    <w:uiPriority w:val="99"/>
    <w:unhideWhenUsed/>
    <w:rsid w:val="00947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47344"/>
  </w:style>
  <w:style w:type="paragraph" w:customStyle="1" w:styleId="bulet">
    <w:name w:val="bulet"/>
    <w:basedOn w:val="Normal"/>
    <w:uiPriority w:val="99"/>
    <w:qFormat/>
    <w:rsid w:val="008F7D41"/>
    <w:pPr>
      <w:numPr>
        <w:numId w:val="8"/>
      </w:numPr>
      <w:tabs>
        <w:tab w:val="left" w:pos="460"/>
        <w:tab w:val="left" w:pos="1420"/>
        <w:tab w:val="left" w:pos="5954"/>
        <w:tab w:val="left" w:pos="7140"/>
        <w:tab w:val="right" w:pos="7440"/>
      </w:tabs>
      <w:spacing w:before="120" w:after="120" w:line="260" w:lineRule="atLeast"/>
      <w:jc w:val="both"/>
    </w:pPr>
    <w:rPr>
      <w:rFonts w:ascii="Verdana" w:eastAsia="Calibri" w:hAnsi="Verdana" w:cs="Verdana"/>
      <w:color w:val="000000"/>
      <w:sz w:val="18"/>
      <w:szCs w:val="16"/>
    </w:rPr>
  </w:style>
  <w:style w:type="paragraph" w:customStyle="1" w:styleId="Caixatexto">
    <w:name w:val="Caixa texto"/>
    <w:basedOn w:val="Normal"/>
    <w:qFormat/>
    <w:rsid w:val="002436D2"/>
    <w:pPr>
      <w:spacing w:before="120" w:after="0" w:line="240" w:lineRule="exact"/>
      <w:jc w:val="both"/>
    </w:pPr>
    <w:rPr>
      <w:rFonts w:ascii="Trebuchet MS" w:eastAsia="PMingLiU" w:hAnsi="Trebuchet MS" w:cs="Times New Roman"/>
      <w:sz w:val="20"/>
      <w:szCs w:val="20"/>
    </w:rPr>
  </w:style>
  <w:style w:type="character" w:customStyle="1" w:styleId="PargrafodaListaCarter">
    <w:name w:val="Parágrafo da Lista Caráter"/>
    <w:link w:val="PargrafodaLista"/>
    <w:uiPriority w:val="34"/>
    <w:rsid w:val="00EB55CE"/>
  </w:style>
  <w:style w:type="table" w:styleId="Tabelacomgrelha">
    <w:name w:val="Table Grid"/>
    <w:basedOn w:val="Tabelanormal"/>
    <w:uiPriority w:val="59"/>
    <w:rsid w:val="00806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688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55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54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56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34213">
          <w:marLeft w:val="28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0819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535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6901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3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2014-2020@azores.gov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731C-3376-477E-8BA7-29958425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525A2EF6</Template>
  <TotalTime>117</TotalTime>
  <Pages>6</Pages>
  <Words>1737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MF. Reis</dc:creator>
  <cp:lastModifiedBy>Luís FM. Vieira</cp:lastModifiedBy>
  <cp:revision>7</cp:revision>
  <cp:lastPrinted>2017-07-04T17:01:00Z</cp:lastPrinted>
  <dcterms:created xsi:type="dcterms:W3CDTF">2017-07-04T15:34:00Z</dcterms:created>
  <dcterms:modified xsi:type="dcterms:W3CDTF">2017-07-05T10:00:00Z</dcterms:modified>
</cp:coreProperties>
</file>