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0FDE0" w14:textId="77777777" w:rsidR="005D1445" w:rsidRDefault="005D1445" w:rsidP="005D1445">
      <w:pPr>
        <w:pStyle w:val="PORAMTtulo2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Anexo II</w:t>
      </w:r>
      <w:r w:rsidR="002A5437">
        <w:rPr>
          <w:color w:val="auto"/>
          <w:sz w:val="24"/>
          <w:szCs w:val="24"/>
        </w:rPr>
        <w:t>I</w:t>
      </w:r>
      <w:r>
        <w:rPr>
          <w:color w:val="auto"/>
          <w:sz w:val="24"/>
          <w:szCs w:val="24"/>
        </w:rPr>
        <w:t xml:space="preserve"> -Parâmetros e Critérios de Seleção</w:t>
      </w:r>
    </w:p>
    <w:p w14:paraId="2B187482" w14:textId="77777777" w:rsidR="00CA7AEA" w:rsidRPr="003A6597" w:rsidRDefault="00CA7AEA" w:rsidP="00B3390D">
      <w:pPr>
        <w:pStyle w:val="PORAMNormal"/>
        <w:spacing w:before="120" w:after="120"/>
        <w:ind w:left="-567"/>
        <w:rPr>
          <w:rFonts w:cs="Microsoft Sans Serif"/>
          <w:szCs w:val="18"/>
        </w:rPr>
      </w:pPr>
    </w:p>
    <w:tbl>
      <w:tblPr>
        <w:tblW w:w="5623" w:type="pct"/>
        <w:jc w:val="center"/>
        <w:tblBorders>
          <w:top w:val="single" w:sz="4" w:space="0" w:color="004295"/>
          <w:left w:val="single" w:sz="4" w:space="0" w:color="004295"/>
          <w:bottom w:val="single" w:sz="4" w:space="0" w:color="004295"/>
          <w:right w:val="single" w:sz="4" w:space="0" w:color="004295"/>
          <w:insideH w:val="single" w:sz="4" w:space="0" w:color="004295"/>
          <w:insideV w:val="single" w:sz="4" w:space="0" w:color="004295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07"/>
        <w:gridCol w:w="699"/>
        <w:gridCol w:w="420"/>
        <w:gridCol w:w="3492"/>
        <w:gridCol w:w="2934"/>
      </w:tblGrid>
      <w:tr w:rsidR="000E367A" w:rsidRPr="00B917A0" w14:paraId="4688A356" w14:textId="77777777" w:rsidTr="0062328B">
        <w:trPr>
          <w:trHeight w:hRule="exact" w:val="340"/>
          <w:jc w:val="center"/>
        </w:trPr>
        <w:tc>
          <w:tcPr>
            <w:tcW w:w="1050" w:type="pct"/>
            <w:tcBorders>
              <w:bottom w:val="single" w:sz="4" w:space="0" w:color="004295"/>
            </w:tcBorders>
            <w:shd w:val="clear" w:color="000000" w:fill="auto"/>
            <w:vAlign w:val="center"/>
            <w:hideMark/>
          </w:tcPr>
          <w:p w14:paraId="643A7C10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Critérios de Seleção</w:t>
            </w:r>
          </w:p>
        </w:tc>
        <w:tc>
          <w:tcPr>
            <w:tcW w:w="366" w:type="pct"/>
            <w:tcBorders>
              <w:bottom w:val="single" w:sz="4" w:space="0" w:color="004295"/>
            </w:tcBorders>
            <w:shd w:val="clear" w:color="000000" w:fill="auto"/>
            <w:vAlign w:val="center"/>
            <w:hideMark/>
          </w:tcPr>
          <w:p w14:paraId="32B64DAD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Ponderador</w:t>
            </w:r>
          </w:p>
        </w:tc>
        <w:tc>
          <w:tcPr>
            <w:tcW w:w="2048" w:type="pct"/>
            <w:gridSpan w:val="2"/>
            <w:tcBorders>
              <w:bottom w:val="single" w:sz="4" w:space="0" w:color="004295"/>
            </w:tcBorders>
            <w:shd w:val="clear" w:color="000000" w:fill="auto"/>
            <w:vAlign w:val="center"/>
            <w:hideMark/>
          </w:tcPr>
          <w:p w14:paraId="16CEB3DA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Valoração</w:t>
            </w:r>
          </w:p>
        </w:tc>
        <w:tc>
          <w:tcPr>
            <w:tcW w:w="1536" w:type="pct"/>
            <w:tcBorders>
              <w:bottom w:val="single" w:sz="4" w:space="0" w:color="004295"/>
            </w:tcBorders>
            <w:shd w:val="clear" w:color="000000" w:fill="auto"/>
          </w:tcPr>
          <w:p w14:paraId="12D6690C" w14:textId="77777777" w:rsidR="000E367A" w:rsidRPr="00B917A0" w:rsidRDefault="00160731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6"/>
                <w:szCs w:val="16"/>
              </w:rPr>
              <w:t>Orientações</w:t>
            </w:r>
          </w:p>
        </w:tc>
      </w:tr>
      <w:tr w:rsidR="00A313A3" w:rsidRPr="00B917A0" w14:paraId="164E68C0" w14:textId="77777777" w:rsidTr="0062328B">
        <w:trPr>
          <w:trHeight w:hRule="exact" w:val="583"/>
          <w:jc w:val="center"/>
        </w:trPr>
        <w:tc>
          <w:tcPr>
            <w:tcW w:w="1050" w:type="pct"/>
            <w:vMerge w:val="restart"/>
            <w:shd w:val="clear" w:color="auto" w:fill="auto"/>
            <w:vAlign w:val="center"/>
            <w:hideMark/>
          </w:tcPr>
          <w:p w14:paraId="02EEFA01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Contributo para o cumprimento das metas associadas ao indicador de realização da Prioridade de Investimento "Capacidade das infraestruturas de acolhimento de crianças ou de educação apoiadas"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  <w:hideMark/>
          </w:tcPr>
          <w:p w14:paraId="24F9B116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25%</w:t>
            </w: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1A0B5FBB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5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41643F08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A operação de melhoria das infraestruturas/equipamentos de educação abrange até 250 alunos/formandos</w:t>
            </w:r>
          </w:p>
        </w:tc>
        <w:tc>
          <w:tcPr>
            <w:tcW w:w="1536" w:type="pct"/>
            <w:vMerge w:val="restart"/>
            <w:vAlign w:val="center"/>
          </w:tcPr>
          <w:p w14:paraId="3DD2F54A" w14:textId="77777777"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Este critério está diretamente relacionado com o indicador de realização "Capacidade das infraestruturas de acolhimento de crianças ou de educação apoiadas".</w:t>
            </w:r>
          </w:p>
          <w:p w14:paraId="6118FA7D" w14:textId="77777777"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mais contribuam para o Indicador em causa.</w:t>
            </w:r>
          </w:p>
        </w:tc>
      </w:tr>
      <w:tr w:rsidR="00A313A3" w:rsidRPr="00B917A0" w14:paraId="4F3E20BC" w14:textId="77777777" w:rsidTr="0062328B">
        <w:trPr>
          <w:trHeight w:hRule="exact" w:val="564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14:paraId="59155156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14:paraId="21DE23F0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621583E7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6E722D53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A operação de melhoria das infraestruturas/equipamentos de educação abrange entre 250 e 500</w:t>
            </w:r>
          </w:p>
        </w:tc>
        <w:tc>
          <w:tcPr>
            <w:tcW w:w="1536" w:type="pct"/>
            <w:vMerge/>
            <w:vAlign w:val="center"/>
          </w:tcPr>
          <w:p w14:paraId="2D41C563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14:paraId="09E37A42" w14:textId="77777777" w:rsidTr="0062328B">
        <w:trPr>
          <w:trHeight w:hRule="exact" w:val="572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14:paraId="1D7AA7DD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14:paraId="05867B6B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133958D8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1A1206F3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A operação de melhoria das infraestruturas</w:t>
            </w:r>
            <w:r w:rsidR="00643F52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/equipamentos de educação abrange mais de 500 alunos/formandos</w:t>
            </w:r>
          </w:p>
        </w:tc>
        <w:tc>
          <w:tcPr>
            <w:tcW w:w="1536" w:type="pct"/>
            <w:vMerge/>
            <w:vAlign w:val="center"/>
          </w:tcPr>
          <w:p w14:paraId="40A15FC2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14:paraId="03B19DEA" w14:textId="77777777" w:rsidTr="0062328B">
        <w:trPr>
          <w:trHeight w:hRule="exact" w:val="397"/>
          <w:jc w:val="center"/>
        </w:trPr>
        <w:tc>
          <w:tcPr>
            <w:tcW w:w="1050" w:type="pct"/>
            <w:vMerge w:val="restart"/>
            <w:shd w:val="clear" w:color="auto" w:fill="auto"/>
            <w:vAlign w:val="center"/>
            <w:hideMark/>
          </w:tcPr>
          <w:p w14:paraId="76D5F537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Complementaridade dos investimentos com outras operações 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  <w:hideMark/>
          </w:tcPr>
          <w:p w14:paraId="092D2483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25%</w:t>
            </w: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23DE6DDD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27297A93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Não existe complementaridade</w:t>
            </w:r>
          </w:p>
        </w:tc>
        <w:tc>
          <w:tcPr>
            <w:tcW w:w="1536" w:type="pct"/>
            <w:vMerge w:val="restart"/>
            <w:vAlign w:val="center"/>
          </w:tcPr>
          <w:p w14:paraId="7D501138" w14:textId="77777777" w:rsidR="00A313A3" w:rsidRPr="00F02E71" w:rsidRDefault="00A313A3" w:rsidP="00643F52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com</w:t>
            </w:r>
            <w:r w:rsidR="00643F52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plementem intervenções, tanto, 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em períodos de programação anteriores, como, no atual período de programação, sem que a operação represente intervenções sobre o mesmo equipamento. As operações a financiar, devem demonstrar que aliadas a outros investimentos (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mat</w:t>
            </w:r>
            <w:proofErr w:type="spellEnd"/>
            <w:r w:rsidR="00643F52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.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ou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imat</w:t>
            </w:r>
            <w:proofErr w:type="spellEnd"/>
            <w:r w:rsidR="00643F52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.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) complementam-se, podendo as outras vertentes da operação, serem financiadas por outras fontes, nomeadamente programas europeus.</w:t>
            </w:r>
          </w:p>
        </w:tc>
      </w:tr>
      <w:tr w:rsidR="00A313A3" w:rsidRPr="00B917A0" w14:paraId="5087D87A" w14:textId="77777777" w:rsidTr="0062328B">
        <w:trPr>
          <w:trHeight w:hRule="exact" w:val="741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14:paraId="5003C431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14:paraId="3B8A6FC1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48EE24CA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730645E0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Complementaridade com operações realizadas em períodos de programação anteriores, nomeadamente Intervir+, Rumos ou outros Programas Comunitários</w:t>
            </w:r>
          </w:p>
        </w:tc>
        <w:tc>
          <w:tcPr>
            <w:tcW w:w="1536" w:type="pct"/>
            <w:vMerge/>
            <w:vAlign w:val="center"/>
          </w:tcPr>
          <w:p w14:paraId="52B3A32D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14:paraId="636A5715" w14:textId="77777777" w:rsidTr="0062328B">
        <w:trPr>
          <w:trHeight w:hRule="exact" w:val="1121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14:paraId="0688A614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14:paraId="4357F401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2038A0AF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377916A4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Complementaridade com operações realizadas com outras intervenções do Madeira 14-20 ou outros Programas Operacionais ou Programas Comunitários do atual período de programação.</w:t>
            </w:r>
          </w:p>
        </w:tc>
        <w:tc>
          <w:tcPr>
            <w:tcW w:w="1536" w:type="pct"/>
            <w:vMerge/>
            <w:vAlign w:val="center"/>
          </w:tcPr>
          <w:p w14:paraId="3B666CD7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14:paraId="25CAD4D2" w14:textId="77777777" w:rsidTr="0062328B">
        <w:trPr>
          <w:trHeight w:hRule="exact" w:val="397"/>
          <w:jc w:val="center"/>
        </w:trPr>
        <w:tc>
          <w:tcPr>
            <w:tcW w:w="1050" w:type="pct"/>
            <w:vMerge w:val="restart"/>
            <w:shd w:val="clear" w:color="auto" w:fill="auto"/>
            <w:vAlign w:val="center"/>
            <w:hideMark/>
          </w:tcPr>
          <w:p w14:paraId="019BBED0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Promoção da igualdade de oportunidades no acesso à educação/formação.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  <w:hideMark/>
          </w:tcPr>
          <w:p w14:paraId="4EF3E08B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30%</w:t>
            </w: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7CFA0A10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5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1F60FDC1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Reforço do acesso à educação/formação</w:t>
            </w:r>
          </w:p>
        </w:tc>
        <w:tc>
          <w:tcPr>
            <w:tcW w:w="1536" w:type="pct"/>
            <w:vMerge w:val="restart"/>
            <w:vAlign w:val="center"/>
          </w:tcPr>
          <w:p w14:paraId="66F384FE" w14:textId="77777777"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promovam a igualdade de acesso à educação, através de investimentos na melhoria da rede - modernização e reabilitação de infraestruturas necessários para completar a rede escolar:</w:t>
            </w:r>
          </w:p>
          <w:p w14:paraId="2741E0BD" w14:textId="77777777"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infraestruturas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: construção de escolas, em substituição de unidades que atualmente não oferecem as condições que garantam os níveis de segurança e conforto adequados;</w:t>
            </w:r>
          </w:p>
          <w:p w14:paraId="25576BAF" w14:textId="77777777"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equipamentos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TIC, laboratoriais e oficinais, destinados a novos cursos ou introdução de novos métodos.</w:t>
            </w:r>
          </w:p>
        </w:tc>
      </w:tr>
      <w:tr w:rsidR="00A313A3" w:rsidRPr="00B917A0" w14:paraId="4840F7FE" w14:textId="77777777" w:rsidTr="0062328B">
        <w:trPr>
          <w:trHeight w:hRule="exact" w:val="1171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14:paraId="71533143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14:paraId="1F95C14A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4F2507BA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5AA64E39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Contributo para melhorar a rede de infraestruturas/equipamentos de educação e formação na RAM, de acordo com o previsto no documento "Referenciais Estratégicos da DRERH" </w:t>
            </w:r>
          </w:p>
        </w:tc>
        <w:tc>
          <w:tcPr>
            <w:tcW w:w="1536" w:type="pct"/>
            <w:vMerge/>
            <w:vAlign w:val="center"/>
          </w:tcPr>
          <w:p w14:paraId="3913D0E0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14:paraId="37F79A62" w14:textId="77777777" w:rsidTr="0062328B">
        <w:trPr>
          <w:trHeight w:hRule="exact" w:val="988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14:paraId="7F76A436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14:paraId="05869CC3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1838A31C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4FD61A79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Contributo para completar rede de infraestruturas/equipamentos de educação formação na RAM, de acordo com o previsto no documento "Referenciais Estratégicos da DRERH"</w:t>
            </w:r>
          </w:p>
        </w:tc>
        <w:tc>
          <w:tcPr>
            <w:tcW w:w="1536" w:type="pct"/>
            <w:vMerge/>
            <w:vAlign w:val="center"/>
          </w:tcPr>
          <w:p w14:paraId="63C281BA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14:paraId="146587BF" w14:textId="77777777" w:rsidTr="0062328B">
        <w:trPr>
          <w:trHeight w:hRule="exact" w:val="721"/>
          <w:jc w:val="center"/>
        </w:trPr>
        <w:tc>
          <w:tcPr>
            <w:tcW w:w="1050" w:type="pct"/>
            <w:vMerge w:val="restart"/>
            <w:shd w:val="clear" w:color="auto" w:fill="auto"/>
            <w:vAlign w:val="center"/>
            <w:hideMark/>
          </w:tcPr>
          <w:p w14:paraId="30EA64F7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Sustentabilidade de médio prazo da procura 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  <w:hideMark/>
          </w:tcPr>
          <w:p w14:paraId="2B301686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20%</w:t>
            </w: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6EDCCE65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5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27E6EFFB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Demonstrar a sustentabilidade do investimento a médio prazo (fundamentar a existência de recursos próprios para sustentar a operacionalidade futura do investimento)</w:t>
            </w:r>
          </w:p>
        </w:tc>
        <w:tc>
          <w:tcPr>
            <w:tcW w:w="1536" w:type="pct"/>
            <w:vMerge w:val="restart"/>
            <w:vAlign w:val="center"/>
          </w:tcPr>
          <w:p w14:paraId="61912A40" w14:textId="77777777"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demonstrem a sustentabilidade do investimento a médio prazo, sendo mais valorizadas as ações que demonstrem estar adaptadas e dimensionadas: </w:t>
            </w:r>
          </w:p>
          <w:p w14:paraId="190ED0B0" w14:textId="77777777"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 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à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evolução demográfica;</w:t>
            </w:r>
          </w:p>
          <w:p w14:paraId="6868B7F1" w14:textId="77777777" w:rsidR="00A313A3" w:rsidRPr="00F02E71" w:rsidRDefault="00A313A3" w:rsidP="00704D9A">
            <w:pPr>
              <w:spacing w:before="60" w:after="60"/>
              <w:ind w:left="113" w:hanging="113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às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necessidades de mercado.</w:t>
            </w:r>
          </w:p>
        </w:tc>
      </w:tr>
      <w:tr w:rsidR="00A313A3" w:rsidRPr="00B917A0" w14:paraId="3ABA6008" w14:textId="77777777" w:rsidTr="0062328B">
        <w:trPr>
          <w:trHeight w:hRule="exact" w:val="712"/>
          <w:jc w:val="center"/>
        </w:trPr>
        <w:tc>
          <w:tcPr>
            <w:tcW w:w="1050" w:type="pct"/>
            <w:vMerge/>
            <w:shd w:val="clear" w:color="auto" w:fill="auto"/>
            <w:vAlign w:val="center"/>
          </w:tcPr>
          <w:p w14:paraId="16157325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</w:tcPr>
          <w:p w14:paraId="4FEF143A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</w:tcPr>
          <w:p w14:paraId="21E7E158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28" w:type="pct"/>
            <w:shd w:val="clear" w:color="auto" w:fill="auto"/>
            <w:noWrap/>
            <w:vAlign w:val="center"/>
          </w:tcPr>
          <w:p w14:paraId="57BCB280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Demonstrar a sustentabilidade do investimento a médio prazo e que está adaptado à evolução das necessidades do mercado de trabalho</w:t>
            </w:r>
          </w:p>
        </w:tc>
        <w:tc>
          <w:tcPr>
            <w:tcW w:w="1536" w:type="pct"/>
            <w:vMerge/>
            <w:vAlign w:val="center"/>
          </w:tcPr>
          <w:p w14:paraId="7D18C7EA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14:paraId="58EEB735" w14:textId="77777777" w:rsidTr="0062328B">
        <w:trPr>
          <w:trHeight w:hRule="exact" w:val="1129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14:paraId="1B02EED9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14:paraId="5A91A970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14:paraId="211E06C8" w14:textId="77777777"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14:paraId="17F6D903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Demonstrar a sustentabilidade do investimento a médio prazo, que está adaptado à evolução das necessidades do mercado de trabalho e que está dimensionado à previsão da evolução demográfica</w:t>
            </w:r>
          </w:p>
        </w:tc>
        <w:tc>
          <w:tcPr>
            <w:tcW w:w="1536" w:type="pct"/>
            <w:vMerge/>
            <w:vAlign w:val="center"/>
          </w:tcPr>
          <w:p w14:paraId="73EFFDF6" w14:textId="77777777"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</w:tbl>
    <w:p w14:paraId="58F75B5F" w14:textId="77777777" w:rsidR="00B360C1" w:rsidRDefault="00B360C1" w:rsidP="00F03D27">
      <w:pPr>
        <w:pStyle w:val="PORAMNormal"/>
        <w:spacing w:before="120" w:after="120"/>
        <w:ind w:left="-567"/>
        <w:rPr>
          <w:rFonts w:ascii="Bookman Old Style" w:hAnsi="Bookman Old Style"/>
          <w:b/>
          <w:sz w:val="20"/>
          <w:szCs w:val="20"/>
        </w:rPr>
      </w:pPr>
      <w:bookmarkStart w:id="0" w:name="_Toc410049325"/>
      <w:bookmarkStart w:id="1" w:name="_Toc417897072"/>
    </w:p>
    <w:p w14:paraId="247933AA" w14:textId="77777777" w:rsidR="00B360C1" w:rsidRDefault="00B360C1" w:rsidP="00F03D27">
      <w:pPr>
        <w:pStyle w:val="PORAMNormal"/>
        <w:spacing w:before="120" w:after="120"/>
        <w:ind w:left="-567"/>
        <w:rPr>
          <w:rFonts w:ascii="Bookman Old Style" w:hAnsi="Bookman Old Style"/>
          <w:b/>
          <w:sz w:val="20"/>
          <w:szCs w:val="20"/>
        </w:rPr>
      </w:pPr>
    </w:p>
    <w:bookmarkEnd w:id="0"/>
    <w:bookmarkEnd w:id="1"/>
    <w:p w14:paraId="58BFC6AA" w14:textId="77777777" w:rsidR="00B360C1" w:rsidRDefault="00B360C1" w:rsidP="00F03D27">
      <w:pPr>
        <w:pStyle w:val="PORAMNormal"/>
        <w:spacing w:before="120" w:after="120"/>
        <w:ind w:left="-567"/>
        <w:rPr>
          <w:rFonts w:ascii="Bookman Old Style" w:hAnsi="Bookman Old Style"/>
          <w:b/>
          <w:sz w:val="20"/>
          <w:szCs w:val="20"/>
        </w:rPr>
      </w:pPr>
    </w:p>
    <w:sectPr w:rsidR="00B360C1" w:rsidSect="00E20AC7">
      <w:pgSz w:w="11906" w:h="16838"/>
      <w:pgMar w:top="1417" w:right="1701" w:bottom="1417" w:left="1701" w:header="708" w:footer="708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Albertina-Reg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EUAlbertina-Italic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Estrangelo Edessa">
    <w:altName w:val="Segoe UI Historic"/>
    <w:panose1 w:val="00000000000000000000"/>
    <w:charset w:val="01"/>
    <w:family w:val="roman"/>
    <w:notTrueType/>
    <w:pitch w:val="variable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CNDH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C07162"/>
    <w:multiLevelType w:val="hybridMultilevel"/>
    <w:tmpl w:val="A03EFB2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0347"/>
    <w:multiLevelType w:val="hybridMultilevel"/>
    <w:tmpl w:val="F512764C"/>
    <w:lvl w:ilvl="0" w:tplc="890C3578">
      <w:start w:val="1"/>
      <w:numFmt w:val="bullet"/>
      <w:pStyle w:val="RelNormal2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  <w:color w:val="674621"/>
      </w:rPr>
    </w:lvl>
    <w:lvl w:ilvl="1" w:tplc="0816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D0329F8"/>
    <w:multiLevelType w:val="hybridMultilevel"/>
    <w:tmpl w:val="6A5E305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8370F07"/>
    <w:multiLevelType w:val="hybridMultilevel"/>
    <w:tmpl w:val="44F01434"/>
    <w:lvl w:ilvl="0" w:tplc="157ECE1A">
      <w:start w:val="1"/>
      <w:numFmt w:val="bullet"/>
      <w:pStyle w:val="DiagnosticoNormalTitulo2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67287"/>
    <w:multiLevelType w:val="hybridMultilevel"/>
    <w:tmpl w:val="B4CA174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42ADB"/>
    <w:multiLevelType w:val="hybridMultilevel"/>
    <w:tmpl w:val="C1EE6A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2C23CA"/>
    <w:multiLevelType w:val="hybridMultilevel"/>
    <w:tmpl w:val="0C5A1FBA"/>
    <w:lvl w:ilvl="0" w:tplc="4A9832EC">
      <w:start w:val="1"/>
      <w:numFmt w:val="bullet"/>
      <w:pStyle w:val="PORAMNormal3"/>
      <w:lvlText w:val="-"/>
      <w:lvlJc w:val="left"/>
      <w:pPr>
        <w:ind w:left="1267" w:hanging="360"/>
      </w:pPr>
      <w:rPr>
        <w:rFonts w:ascii="Calibri" w:hAnsi="Calibri" w:hint="default"/>
        <w:color w:val="0065B7"/>
      </w:rPr>
    </w:lvl>
    <w:lvl w:ilvl="1" w:tplc="08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BA736C9"/>
    <w:multiLevelType w:val="singleLevel"/>
    <w:tmpl w:val="9BD81856"/>
    <w:name w:val="8,972824E-02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" w15:restartNumberingAfterBreak="0">
    <w:nsid w:val="54BD0BEC"/>
    <w:multiLevelType w:val="singleLevel"/>
    <w:tmpl w:val="72D6F376"/>
    <w:lvl w:ilvl="0">
      <w:start w:val="1"/>
      <w:numFmt w:val="bullet"/>
      <w:pStyle w:val="Listacommarcas"/>
      <w:lvlText w:val=""/>
      <w:lvlJc w:val="left"/>
      <w:pPr>
        <w:tabs>
          <w:tab w:val="num" w:pos="3828"/>
        </w:tabs>
        <w:ind w:left="3828" w:hanging="283"/>
      </w:pPr>
      <w:rPr>
        <w:rFonts w:ascii="Symbol" w:hAnsi="Symbol"/>
      </w:rPr>
    </w:lvl>
  </w:abstractNum>
  <w:abstractNum w:abstractNumId="10" w15:restartNumberingAfterBreak="0">
    <w:nsid w:val="5A176C95"/>
    <w:multiLevelType w:val="hybridMultilevel"/>
    <w:tmpl w:val="C63EE838"/>
    <w:lvl w:ilvl="0" w:tplc="08160005">
      <w:start w:val="1"/>
      <w:numFmt w:val="bullet"/>
      <w:pStyle w:val="IntNormal2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63AA668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630500C1"/>
    <w:multiLevelType w:val="hybridMultilevel"/>
    <w:tmpl w:val="311A1EEC"/>
    <w:lvl w:ilvl="0" w:tplc="D092EF8E">
      <w:start w:val="1"/>
      <w:numFmt w:val="bullet"/>
      <w:pStyle w:val="PargrafodaLista"/>
      <w:lvlText w:val=""/>
      <w:lvlJc w:val="left"/>
      <w:pPr>
        <w:ind w:left="3905" w:hanging="360"/>
      </w:pPr>
      <w:rPr>
        <w:rFonts w:ascii="Symbol" w:hAnsi="Symbol" w:hint="default"/>
        <w:color w:val="1F497D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106069"/>
    <w:multiLevelType w:val="hybridMultilevel"/>
    <w:tmpl w:val="523C16AA"/>
    <w:lvl w:ilvl="0" w:tplc="0816000F">
      <w:start w:val="1"/>
      <w:numFmt w:val="lowerLetter"/>
      <w:pStyle w:val="Estilo4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4F71A0"/>
    <w:multiLevelType w:val="hybridMultilevel"/>
    <w:tmpl w:val="6E06568E"/>
    <w:lvl w:ilvl="0" w:tplc="F8B8554E">
      <w:start w:val="1"/>
      <w:numFmt w:val="bullet"/>
      <w:pStyle w:val="PORAMNormal2"/>
      <w:lvlText w:val=""/>
      <w:lvlJc w:val="left"/>
      <w:pPr>
        <w:ind w:left="360" w:hanging="360"/>
      </w:pPr>
      <w:rPr>
        <w:rFonts w:ascii="Symbol" w:hAnsi="Symbol" w:hint="default"/>
        <w:color w:val="0065B7"/>
        <w:sz w:val="22"/>
        <w:szCs w:val="22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38740A"/>
    <w:multiLevelType w:val="multilevel"/>
    <w:tmpl w:val="C8A0547E"/>
    <w:lvl w:ilvl="0">
      <w:start w:val="1"/>
      <w:numFmt w:val="decimal"/>
      <w:pStyle w:val="Rel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674621"/>
      </w:rPr>
    </w:lvl>
    <w:lvl w:ilvl="1">
      <w:start w:val="1"/>
      <w:numFmt w:val="decimal"/>
      <w:pStyle w:val="RelTtulo2"/>
      <w:lvlText w:val="%1.%2."/>
      <w:lvlJc w:val="left"/>
      <w:pPr>
        <w:tabs>
          <w:tab w:val="num" w:pos="434"/>
        </w:tabs>
        <w:ind w:left="349" w:hanging="349"/>
      </w:pPr>
      <w:rPr>
        <w:rFonts w:hint="default"/>
        <w:color w:val="674621"/>
      </w:rPr>
    </w:lvl>
    <w:lvl w:ilvl="2">
      <w:start w:val="1"/>
      <w:numFmt w:val="decimal"/>
      <w:pStyle w:val="RelTtulo3"/>
      <w:lvlText w:val="%1.%2.%3."/>
      <w:lvlJc w:val="left"/>
      <w:pPr>
        <w:tabs>
          <w:tab w:val="num" w:pos="1181"/>
        </w:tabs>
        <w:ind w:left="10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5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0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5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140" w:hanging="1440"/>
      </w:pPr>
      <w:rPr>
        <w:rFonts w:hint="default"/>
      </w:rPr>
    </w:lvl>
  </w:abstractNum>
  <w:abstractNum w:abstractNumId="15" w15:restartNumberingAfterBreak="0">
    <w:nsid w:val="7BC44FDE"/>
    <w:multiLevelType w:val="hybridMultilevel"/>
    <w:tmpl w:val="8EC6AB76"/>
    <w:lvl w:ilvl="0" w:tplc="EEB09F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8160019">
      <w:start w:val="1"/>
      <w:numFmt w:val="bullet"/>
      <w:pStyle w:val="SGCNormalM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DE0AD2"/>
    <w:multiLevelType w:val="hybridMultilevel"/>
    <w:tmpl w:val="E3CA56F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13"/>
  </w:num>
  <w:num w:numId="8">
    <w:abstractNumId w:val="1"/>
  </w:num>
  <w:num w:numId="9">
    <w:abstractNumId w:val="14"/>
  </w:num>
  <w:num w:numId="10">
    <w:abstractNumId w:val="15"/>
  </w:num>
  <w:num w:numId="11">
    <w:abstractNumId w:val="12"/>
  </w:num>
  <w:num w:numId="12">
    <w:abstractNumId w:val="10"/>
  </w:num>
  <w:num w:numId="13">
    <w:abstractNumId w:val="0"/>
  </w:num>
  <w:num w:numId="14">
    <w:abstractNumId w:val="5"/>
  </w:num>
  <w:num w:numId="15">
    <w:abstractNumId w:val="16"/>
  </w:num>
  <w:num w:numId="16">
    <w:abstractNumId w:val="6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76C"/>
    <w:rsid w:val="00021CC2"/>
    <w:rsid w:val="000222EA"/>
    <w:rsid w:val="00051C88"/>
    <w:rsid w:val="00063E4B"/>
    <w:rsid w:val="00072AD0"/>
    <w:rsid w:val="00075360"/>
    <w:rsid w:val="000756E8"/>
    <w:rsid w:val="00085953"/>
    <w:rsid w:val="000A294D"/>
    <w:rsid w:val="000B01F8"/>
    <w:rsid w:val="000B08AE"/>
    <w:rsid w:val="000B4A40"/>
    <w:rsid w:val="000B77CD"/>
    <w:rsid w:val="000C3CC7"/>
    <w:rsid w:val="000D34FD"/>
    <w:rsid w:val="000D3941"/>
    <w:rsid w:val="000E0FF4"/>
    <w:rsid w:val="000E1128"/>
    <w:rsid w:val="000E367A"/>
    <w:rsid w:val="000F3E22"/>
    <w:rsid w:val="000F453C"/>
    <w:rsid w:val="000F70CC"/>
    <w:rsid w:val="001100B3"/>
    <w:rsid w:val="00115152"/>
    <w:rsid w:val="0012339B"/>
    <w:rsid w:val="00131752"/>
    <w:rsid w:val="00140370"/>
    <w:rsid w:val="0015512B"/>
    <w:rsid w:val="00160731"/>
    <w:rsid w:val="00174343"/>
    <w:rsid w:val="00185C9B"/>
    <w:rsid w:val="001A782A"/>
    <w:rsid w:val="001B6BB7"/>
    <w:rsid w:val="001B7962"/>
    <w:rsid w:val="001C34E9"/>
    <w:rsid w:val="001D34A6"/>
    <w:rsid w:val="001E16E3"/>
    <w:rsid w:val="001E2EA9"/>
    <w:rsid w:val="001E5773"/>
    <w:rsid w:val="001E6C0F"/>
    <w:rsid w:val="001F0BBC"/>
    <w:rsid w:val="001F4FA6"/>
    <w:rsid w:val="001F5D76"/>
    <w:rsid w:val="00214751"/>
    <w:rsid w:val="002164ED"/>
    <w:rsid w:val="00221A9B"/>
    <w:rsid w:val="00234467"/>
    <w:rsid w:val="00235E33"/>
    <w:rsid w:val="002520A5"/>
    <w:rsid w:val="00261E4F"/>
    <w:rsid w:val="00262A0D"/>
    <w:rsid w:val="00275071"/>
    <w:rsid w:val="00277F4A"/>
    <w:rsid w:val="00281853"/>
    <w:rsid w:val="002904D1"/>
    <w:rsid w:val="00292B57"/>
    <w:rsid w:val="002A1306"/>
    <w:rsid w:val="002A2B6C"/>
    <w:rsid w:val="002A5437"/>
    <w:rsid w:val="002D22AE"/>
    <w:rsid w:val="002E258E"/>
    <w:rsid w:val="002E5015"/>
    <w:rsid w:val="002F6ED1"/>
    <w:rsid w:val="00303864"/>
    <w:rsid w:val="0030492F"/>
    <w:rsid w:val="00313A08"/>
    <w:rsid w:val="00314AE1"/>
    <w:rsid w:val="00335560"/>
    <w:rsid w:val="0034075A"/>
    <w:rsid w:val="00342A86"/>
    <w:rsid w:val="00343D2B"/>
    <w:rsid w:val="0036000C"/>
    <w:rsid w:val="00366FF4"/>
    <w:rsid w:val="003903AA"/>
    <w:rsid w:val="00391C0A"/>
    <w:rsid w:val="003A0EE3"/>
    <w:rsid w:val="003A2845"/>
    <w:rsid w:val="003A6597"/>
    <w:rsid w:val="003A6C48"/>
    <w:rsid w:val="003B2F70"/>
    <w:rsid w:val="003C18DD"/>
    <w:rsid w:val="003C6259"/>
    <w:rsid w:val="003E6A85"/>
    <w:rsid w:val="003F133D"/>
    <w:rsid w:val="003F5D7C"/>
    <w:rsid w:val="004147DE"/>
    <w:rsid w:val="00431DB0"/>
    <w:rsid w:val="00435813"/>
    <w:rsid w:val="004362B1"/>
    <w:rsid w:val="00437C11"/>
    <w:rsid w:val="00442F08"/>
    <w:rsid w:val="0044667F"/>
    <w:rsid w:val="004467FA"/>
    <w:rsid w:val="00452F2D"/>
    <w:rsid w:val="00473E52"/>
    <w:rsid w:val="00483C25"/>
    <w:rsid w:val="00485F5F"/>
    <w:rsid w:val="00487BDA"/>
    <w:rsid w:val="00487D1E"/>
    <w:rsid w:val="00494797"/>
    <w:rsid w:val="004C15A3"/>
    <w:rsid w:val="00506C92"/>
    <w:rsid w:val="005303B4"/>
    <w:rsid w:val="005309A1"/>
    <w:rsid w:val="00533885"/>
    <w:rsid w:val="005346F8"/>
    <w:rsid w:val="00535E0D"/>
    <w:rsid w:val="00541B8B"/>
    <w:rsid w:val="0054255B"/>
    <w:rsid w:val="00544616"/>
    <w:rsid w:val="00550AAA"/>
    <w:rsid w:val="005558E3"/>
    <w:rsid w:val="0057667E"/>
    <w:rsid w:val="00577912"/>
    <w:rsid w:val="00585F3B"/>
    <w:rsid w:val="005C53B0"/>
    <w:rsid w:val="005C5FB8"/>
    <w:rsid w:val="005C6D33"/>
    <w:rsid w:val="005D0ECE"/>
    <w:rsid w:val="005D1445"/>
    <w:rsid w:val="005D1F8B"/>
    <w:rsid w:val="005F0C27"/>
    <w:rsid w:val="00620333"/>
    <w:rsid w:val="0062328B"/>
    <w:rsid w:val="00643F52"/>
    <w:rsid w:val="0064770C"/>
    <w:rsid w:val="00650D30"/>
    <w:rsid w:val="00652CD6"/>
    <w:rsid w:val="00677DBD"/>
    <w:rsid w:val="00680E85"/>
    <w:rsid w:val="006929BA"/>
    <w:rsid w:val="00694153"/>
    <w:rsid w:val="006A6232"/>
    <w:rsid w:val="006B1C6F"/>
    <w:rsid w:val="006B79C8"/>
    <w:rsid w:val="006C10E1"/>
    <w:rsid w:val="006C2A2D"/>
    <w:rsid w:val="006D0342"/>
    <w:rsid w:val="006D2BF9"/>
    <w:rsid w:val="006E36B7"/>
    <w:rsid w:val="006E51E5"/>
    <w:rsid w:val="006E7004"/>
    <w:rsid w:val="006F4A7C"/>
    <w:rsid w:val="006F6BA0"/>
    <w:rsid w:val="0070241D"/>
    <w:rsid w:val="00704D9A"/>
    <w:rsid w:val="007060C7"/>
    <w:rsid w:val="00725266"/>
    <w:rsid w:val="00753DD8"/>
    <w:rsid w:val="0077409C"/>
    <w:rsid w:val="00774F28"/>
    <w:rsid w:val="0078480D"/>
    <w:rsid w:val="00786A66"/>
    <w:rsid w:val="007872FE"/>
    <w:rsid w:val="007A4F37"/>
    <w:rsid w:val="007B1E43"/>
    <w:rsid w:val="007B4830"/>
    <w:rsid w:val="007C476C"/>
    <w:rsid w:val="007D0224"/>
    <w:rsid w:val="007E619B"/>
    <w:rsid w:val="007E6281"/>
    <w:rsid w:val="007E74A6"/>
    <w:rsid w:val="0081289E"/>
    <w:rsid w:val="00815F6F"/>
    <w:rsid w:val="0082170C"/>
    <w:rsid w:val="0083281B"/>
    <w:rsid w:val="008420C1"/>
    <w:rsid w:val="008836E2"/>
    <w:rsid w:val="00891B47"/>
    <w:rsid w:val="00897271"/>
    <w:rsid w:val="008A0C7F"/>
    <w:rsid w:val="008B23D5"/>
    <w:rsid w:val="008B37F2"/>
    <w:rsid w:val="008E15AD"/>
    <w:rsid w:val="008E533B"/>
    <w:rsid w:val="00911579"/>
    <w:rsid w:val="00911BDE"/>
    <w:rsid w:val="009213AD"/>
    <w:rsid w:val="00923EE0"/>
    <w:rsid w:val="00932FE1"/>
    <w:rsid w:val="00936F0A"/>
    <w:rsid w:val="00940616"/>
    <w:rsid w:val="00940F86"/>
    <w:rsid w:val="00947445"/>
    <w:rsid w:val="00954B0A"/>
    <w:rsid w:val="00954F75"/>
    <w:rsid w:val="009B3A63"/>
    <w:rsid w:val="009E1AF9"/>
    <w:rsid w:val="009F0EF9"/>
    <w:rsid w:val="009F3ACA"/>
    <w:rsid w:val="00A30137"/>
    <w:rsid w:val="00A313A3"/>
    <w:rsid w:val="00A501F4"/>
    <w:rsid w:val="00A53746"/>
    <w:rsid w:val="00A5476D"/>
    <w:rsid w:val="00A56F73"/>
    <w:rsid w:val="00A67EFC"/>
    <w:rsid w:val="00A71998"/>
    <w:rsid w:val="00A735E4"/>
    <w:rsid w:val="00A76EAF"/>
    <w:rsid w:val="00A80D14"/>
    <w:rsid w:val="00A97378"/>
    <w:rsid w:val="00AB758E"/>
    <w:rsid w:val="00AD404D"/>
    <w:rsid w:val="00AD7962"/>
    <w:rsid w:val="00AE595F"/>
    <w:rsid w:val="00AF10FC"/>
    <w:rsid w:val="00AF59F3"/>
    <w:rsid w:val="00B045D3"/>
    <w:rsid w:val="00B125C4"/>
    <w:rsid w:val="00B3390D"/>
    <w:rsid w:val="00B360C1"/>
    <w:rsid w:val="00B460AB"/>
    <w:rsid w:val="00B64687"/>
    <w:rsid w:val="00B72CFC"/>
    <w:rsid w:val="00B73DA5"/>
    <w:rsid w:val="00B8507D"/>
    <w:rsid w:val="00B905F3"/>
    <w:rsid w:val="00B96C8D"/>
    <w:rsid w:val="00BA2FBB"/>
    <w:rsid w:val="00BA5DF2"/>
    <w:rsid w:val="00BA7A5C"/>
    <w:rsid w:val="00BB6122"/>
    <w:rsid w:val="00BE20D3"/>
    <w:rsid w:val="00BE27D4"/>
    <w:rsid w:val="00BF5851"/>
    <w:rsid w:val="00BF7508"/>
    <w:rsid w:val="00C00316"/>
    <w:rsid w:val="00C0257E"/>
    <w:rsid w:val="00C06418"/>
    <w:rsid w:val="00C23FBF"/>
    <w:rsid w:val="00C2543F"/>
    <w:rsid w:val="00C35A6E"/>
    <w:rsid w:val="00C369DA"/>
    <w:rsid w:val="00C52A36"/>
    <w:rsid w:val="00C65D7B"/>
    <w:rsid w:val="00C72D4B"/>
    <w:rsid w:val="00C73470"/>
    <w:rsid w:val="00C7357A"/>
    <w:rsid w:val="00C74015"/>
    <w:rsid w:val="00C7719C"/>
    <w:rsid w:val="00C86496"/>
    <w:rsid w:val="00CA26AC"/>
    <w:rsid w:val="00CA2D71"/>
    <w:rsid w:val="00CA7AEA"/>
    <w:rsid w:val="00CC5A81"/>
    <w:rsid w:val="00CD537C"/>
    <w:rsid w:val="00CD7277"/>
    <w:rsid w:val="00CE40BA"/>
    <w:rsid w:val="00CE6607"/>
    <w:rsid w:val="00D12FC1"/>
    <w:rsid w:val="00D1757D"/>
    <w:rsid w:val="00D35C9E"/>
    <w:rsid w:val="00D37DBF"/>
    <w:rsid w:val="00D41879"/>
    <w:rsid w:val="00D44B01"/>
    <w:rsid w:val="00D50052"/>
    <w:rsid w:val="00D612BB"/>
    <w:rsid w:val="00D67AC5"/>
    <w:rsid w:val="00D75466"/>
    <w:rsid w:val="00D86165"/>
    <w:rsid w:val="00DC3D0D"/>
    <w:rsid w:val="00DD4356"/>
    <w:rsid w:val="00DF54F4"/>
    <w:rsid w:val="00E0730C"/>
    <w:rsid w:val="00E2033C"/>
    <w:rsid w:val="00E20AC7"/>
    <w:rsid w:val="00E20C5F"/>
    <w:rsid w:val="00E2520C"/>
    <w:rsid w:val="00E33797"/>
    <w:rsid w:val="00E551FB"/>
    <w:rsid w:val="00E56A6A"/>
    <w:rsid w:val="00E80DAE"/>
    <w:rsid w:val="00EA666F"/>
    <w:rsid w:val="00EC34EF"/>
    <w:rsid w:val="00EC59E6"/>
    <w:rsid w:val="00ED2ADF"/>
    <w:rsid w:val="00ED2DC7"/>
    <w:rsid w:val="00EF3995"/>
    <w:rsid w:val="00EF623B"/>
    <w:rsid w:val="00F02ADF"/>
    <w:rsid w:val="00F03D27"/>
    <w:rsid w:val="00F31AE7"/>
    <w:rsid w:val="00F361F6"/>
    <w:rsid w:val="00F45811"/>
    <w:rsid w:val="00F54F28"/>
    <w:rsid w:val="00F74728"/>
    <w:rsid w:val="00F90A73"/>
    <w:rsid w:val="00F95B40"/>
    <w:rsid w:val="00F97D25"/>
    <w:rsid w:val="00FA2263"/>
    <w:rsid w:val="00FB61B7"/>
    <w:rsid w:val="00FD07D4"/>
    <w:rsid w:val="00FD311F"/>
    <w:rsid w:val="00FD5CB0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1D17"/>
  <w15:docId w15:val="{4B852B20-4DE6-4763-9530-F2754364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tulo1">
    <w:name w:val="heading 1"/>
    <w:basedOn w:val="Normal"/>
    <w:next w:val="Normal"/>
    <w:link w:val="Ttulo1Car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Ttulo4">
    <w:name w:val="heading 4"/>
    <w:basedOn w:val="Normal"/>
    <w:next w:val="Normal"/>
    <w:link w:val="Ttulo4Car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Ttulo5">
    <w:name w:val="heading 5"/>
    <w:basedOn w:val="Normal"/>
    <w:next w:val="Normal"/>
    <w:link w:val="Ttulo5Car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Ttulo6">
    <w:name w:val="heading 6"/>
    <w:basedOn w:val="Normal"/>
    <w:next w:val="Normal"/>
    <w:link w:val="Ttulo6Car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Ttulo8">
    <w:name w:val="heading 8"/>
    <w:basedOn w:val="Normal"/>
    <w:next w:val="Normal"/>
    <w:link w:val="Ttulo8Car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Ttulo9">
    <w:name w:val="heading 9"/>
    <w:basedOn w:val="Normal"/>
    <w:next w:val="Normal"/>
    <w:link w:val="Ttulo9Car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Ttulo2Carter">
    <w:name w:val="Título 2 Caráter"/>
    <w:basedOn w:val="Tipodeletrapredefinidodopargrafo"/>
    <w:link w:val="Ttul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Ttulo3Carter">
    <w:name w:val="Título 3 Caráter"/>
    <w:basedOn w:val="Tipodeletrapredefinidodopargrafo"/>
    <w:link w:val="Ttul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Ttulo4Carter">
    <w:name w:val="Título 4 Caráter"/>
    <w:basedOn w:val="Tipodeletrapredefinidodopargrafo"/>
    <w:link w:val="Ttul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5Carter">
    <w:name w:val="Título 5 Caráter"/>
    <w:basedOn w:val="Tipodeletrapredefinidodopargrafo"/>
    <w:link w:val="Ttul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6Carter">
    <w:name w:val="Título 6 Caráter"/>
    <w:basedOn w:val="Tipodeletrapredefinidodopargrafo"/>
    <w:link w:val="Ttul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Ttulo7Carter">
    <w:name w:val="Título 7 Caráter"/>
    <w:basedOn w:val="Tipodeletrapredefinidodopargrafo"/>
    <w:link w:val="Ttul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Ttulo8Carter">
    <w:name w:val="Título 8 Caráter"/>
    <w:basedOn w:val="Tipodeletrapredefinidodopargrafo"/>
    <w:link w:val="Ttul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9Carter">
    <w:name w:val="Título 9 Caráter"/>
    <w:basedOn w:val="Tipodeletrapredefinidodopargrafo"/>
    <w:link w:val="Ttul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1">
    <w:name w:val="Título 11"/>
    <w:aliases w:val="heading 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1">
    <w:name w:val="Título 21"/>
    <w:aliases w:val="heading 2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1">
    <w:name w:val="Título 31"/>
    <w:aliases w:val="heading 3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1">
    <w:name w:val="Título 61"/>
    <w:aliases w:val="heading 6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ter"/>
    <w:rsid w:val="007C476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ter1"/>
    <w:rsid w:val="007C476C"/>
    <w:pPr>
      <w:tabs>
        <w:tab w:val="center" w:pos="4252"/>
        <w:tab w:val="right" w:pos="8504"/>
      </w:tabs>
    </w:pPr>
  </w:style>
  <w:style w:type="character" w:customStyle="1" w:styleId="RodapCarter1">
    <w:name w:val="Rodapé Caráter1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ter">
    <w:name w:val="Título Cará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ter"/>
    <w:rsid w:val="007C476C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ter">
    <w:name w:val="Texto simples Cará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ter">
    <w:name w:val="Subtítulo Caráter"/>
    <w:aliases w:val="Corrigido Cará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ter"/>
    <w:rsid w:val="007C476C"/>
    <w:pPr>
      <w:spacing w:after="120"/>
    </w:pPr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1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1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ter">
    <w:name w:val="Avanço de corpo de texto 2 Cará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ter"/>
    <w:rsid w:val="007C476C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ter"/>
    <w:rsid w:val="007C476C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1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1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1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ter"/>
    <w:rsid w:val="007C476C"/>
    <w:rPr>
      <w:sz w:val="20"/>
      <w:szCs w:val="20"/>
      <w:lang w:val="fr-BE" w:eastAsia="en-GB"/>
    </w:rPr>
  </w:style>
  <w:style w:type="character" w:customStyle="1" w:styleId="TextodenotaderodapCarter">
    <w:name w:val="Texto de nota de rodapé Cará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ter"/>
    <w:semiHidden/>
    <w:rsid w:val="007C476C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ter">
    <w:name w:val="Sem Espaçamento Cará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Cabealhodondice">
    <w:name w:val="TOC Heading"/>
    <w:basedOn w:val="Ttul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Ttul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Ttul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Ttul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Ttul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Ttul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Ttul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Ttul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Ttul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ter"/>
    <w:rsid w:val="007C476C"/>
    <w:pPr>
      <w:spacing w:after="120"/>
      <w:ind w:left="283"/>
    </w:pPr>
  </w:style>
  <w:style w:type="character" w:customStyle="1" w:styleId="AvanodecorpodetextoCarter">
    <w:name w:val="Avanço de corpo de texto Cará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Ttul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Ttul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Ttul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Ttul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Ttul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ter"/>
    <w:rsid w:val="007C476C"/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7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BA43F-7377-48DB-A154-8D0A2AEC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IDR-Madeira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Pestana</dc:creator>
  <cp:lastModifiedBy>Ricardo Figueira</cp:lastModifiedBy>
  <cp:revision>2</cp:revision>
  <cp:lastPrinted>2017-03-15T12:17:00Z</cp:lastPrinted>
  <dcterms:created xsi:type="dcterms:W3CDTF">2020-11-26T15:24:00Z</dcterms:created>
  <dcterms:modified xsi:type="dcterms:W3CDTF">2020-11-26T15:24:00Z</dcterms:modified>
</cp:coreProperties>
</file>