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b/>
                <w:bCs/>
                <w:sz w:val="16"/>
                <w:szCs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841E6B" w:rsidRDefault="00841E6B" w:rsidP="000A2C07">
      <w:pPr>
        <w:spacing w:after="0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71D21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</w:tr>
    </w:tbl>
    <w:p w:rsidR="00841E6B" w:rsidRDefault="00841E6B" w:rsidP="00671D21">
      <w:pPr>
        <w:spacing w:after="0" w:line="240" w:lineRule="auto"/>
      </w:pPr>
    </w:p>
    <w:tbl>
      <w:tblPr>
        <w:tblW w:w="0" w:type="auto"/>
        <w:tblInd w:w="-106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</w:tblBorders>
        <w:tblLook w:val="00A0" w:firstRow="1" w:lastRow="0" w:firstColumn="1" w:lastColumn="0" w:noHBand="0" w:noVBand="0"/>
      </w:tblPr>
      <w:tblGrid>
        <w:gridCol w:w="9734"/>
      </w:tblGrid>
      <w:tr w:rsidR="00841E6B" w:rsidRPr="00001E6F">
        <w:trPr>
          <w:trHeight w:val="170"/>
        </w:trPr>
        <w:tc>
          <w:tcPr>
            <w:tcW w:w="9747" w:type="dxa"/>
            <w:tcBorders>
              <w:top w:val="single" w:sz="4" w:space="0" w:color="17365D"/>
            </w:tcBorders>
            <w:shd w:val="clear" w:color="auto" w:fill="17365D"/>
            <w:vAlign w:val="center"/>
          </w:tcPr>
          <w:p w:rsidR="00841E6B" w:rsidRPr="00001E6F" w:rsidRDefault="00841E6B" w:rsidP="00671D21">
            <w:pPr>
              <w:spacing w:before="60" w:after="0" w:line="240" w:lineRule="auto"/>
              <w:jc w:val="center"/>
              <w:rPr>
                <w:sz w:val="18"/>
                <w:szCs w:val="18"/>
              </w:rPr>
            </w:pPr>
            <w:r w:rsidRPr="00001E6F">
              <w:rPr>
                <w:sz w:val="18"/>
                <w:szCs w:val="18"/>
              </w:rPr>
              <w:t>Igualdade entre Homens e Mulheres e Igualdade de Oportunidades e da não descriminação</w:t>
            </w:r>
          </w:p>
          <w:p w:rsidR="00841E6B" w:rsidRPr="00001E6F" w:rsidRDefault="00841E6B" w:rsidP="00671D21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 xml:space="preserve">Regulamento (UE) n.º 1303/2013 do Parlamento Europeu e do Conselho, de 17 de </w:t>
            </w:r>
            <w:proofErr w:type="gramStart"/>
            <w:r w:rsidRPr="00001E6F">
              <w:rPr>
                <w:i/>
                <w:iCs/>
                <w:sz w:val="16"/>
                <w:szCs w:val="16"/>
              </w:rPr>
              <w:t>Dezembro</w:t>
            </w:r>
            <w:proofErr w:type="gramEnd"/>
          </w:p>
          <w:p w:rsidR="00841E6B" w:rsidRPr="00001E6F" w:rsidRDefault="00841E6B" w:rsidP="00671D21">
            <w:pPr>
              <w:spacing w:after="6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1304/2013 do Parlamento Europeu e do Conselho, de 17 de Dezembro</w:t>
            </w:r>
          </w:p>
        </w:tc>
      </w:tr>
      <w:tr w:rsidR="00841E6B" w:rsidRPr="00001E6F">
        <w:trPr>
          <w:trHeight w:val="170"/>
        </w:trPr>
        <w:tc>
          <w:tcPr>
            <w:tcW w:w="9747" w:type="dxa"/>
            <w:tcBorders>
              <w:bottom w:val="single" w:sz="4" w:space="0" w:color="17365D"/>
            </w:tcBorders>
            <w:vAlign w:val="center"/>
          </w:tcPr>
          <w:p w:rsidR="00841E6B" w:rsidRPr="00001E6F" w:rsidRDefault="00841E6B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Outra legislação aplicável:</w:t>
            </w:r>
            <w:r w:rsidRPr="00001E6F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841E6B" w:rsidRDefault="00841E6B" w:rsidP="00671D21">
      <w:pPr>
        <w:spacing w:after="0"/>
        <w:rPr>
          <w:i/>
          <w:iCs/>
          <w:sz w:val="8"/>
          <w:szCs w:val="8"/>
        </w:rPr>
      </w:pPr>
    </w:p>
    <w:tbl>
      <w:tblPr>
        <w:tblW w:w="9756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841E6B" w:rsidRPr="00001E6F">
        <w:tc>
          <w:tcPr>
            <w:tcW w:w="3510" w:type="dxa"/>
            <w:vMerge w:val="restart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Questão a verificar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i/>
                <w:iCs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pelas AG</w:t>
            </w:r>
          </w:p>
        </w:tc>
      </w:tr>
      <w:tr w:rsidR="00841E6B" w:rsidRPr="00001E6F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Evidência documental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Observações</w:t>
            </w: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13AC2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Avaliação Global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Operação teve em conta as prioridades nacionais e/ou Europeias em matéria de igualdade entre homens e mulheres, igualdade de oportunidades e da não discriminação em razão da deficiência, raça ou origem étnica, religião ou crença, região, idade ou orientação sexual?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Igualdade no acesso ao emprego, no trabalho, no ensino e na formação profissional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promover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Operação promoveu a igualdade salarial entre todos, nomeadamente entre mulheres e homens?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</w:tcPr>
          <w:p w:rsidR="00841E6B" w:rsidRPr="00001E6F" w:rsidRDefault="00841E6B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77589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integração de pessoa com deficiência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conciliação da vida profissional e familiar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 xml:space="preserve">Foram desenvolvidas ações de apoio a uma </w:t>
            </w:r>
            <w:proofErr w:type="spellStart"/>
            <w:r w:rsidRPr="00001E6F">
              <w:rPr>
                <w:color w:val="262626"/>
                <w:sz w:val="12"/>
                <w:szCs w:val="12"/>
                <w:lang w:eastAsia="pt-PT"/>
              </w:rPr>
              <w:t>parentalidade</w:t>
            </w:r>
            <w:proofErr w:type="spellEnd"/>
            <w:r w:rsidRPr="00001E6F">
              <w:rPr>
                <w:color w:val="262626"/>
                <w:sz w:val="12"/>
                <w:szCs w:val="12"/>
                <w:lang w:eastAsia="pt-PT"/>
              </w:rPr>
              <w:t xml:space="preserve">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Prevenção de práticas discriminatórias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</w:tbl>
    <w:p w:rsidR="00841E6B" w:rsidRDefault="00841E6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841E6B" w:rsidRPr="007572C3" w:rsidRDefault="00841E6B" w:rsidP="00DE52A8">
      <w:pPr>
        <w:spacing w:after="120"/>
        <w:jc w:val="center"/>
        <w:rPr>
          <w:b/>
          <w:bCs/>
        </w:rPr>
      </w:pPr>
      <w:r w:rsidRPr="007572C3">
        <w:rPr>
          <w:b/>
          <w:bCs/>
        </w:rPr>
        <w:lastRenderedPageBreak/>
        <w:t>Anexos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B4073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  <w:highlight w:val="yellow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</w:tr>
    </w:tbl>
    <w:p w:rsidR="00841E6B" w:rsidRPr="006B4073" w:rsidRDefault="00841E6B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C8082B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Igualdade de Género</w:t>
            </w:r>
          </w:p>
        </w:tc>
      </w:tr>
    </w:tbl>
    <w:p w:rsidR="00841E6B" w:rsidRDefault="00841E6B" w:rsidP="00521060">
      <w:pPr>
        <w:spacing w:after="0"/>
        <w:rPr>
          <w:i/>
          <w:iCs/>
          <w:sz w:val="8"/>
          <w:szCs w:val="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6B4073">
        <w:rPr>
          <w:i/>
          <w:iCs/>
          <w:sz w:val="18"/>
          <w:szCs w:val="18"/>
        </w:rPr>
        <w:t xml:space="preserve">Compromissos internacionais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Pacto Europeu para a Igualdade entre Homens e Mulheres (2011-2020), aprovado a 7 de março de 2011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Bases Gerais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841E6B" w:rsidRPr="00416B64" w:rsidRDefault="00841E6B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Trabalho, emprego e empreendedorismo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>
        <w:rPr>
          <w:sz w:val="16"/>
          <w:szCs w:val="16"/>
        </w:rPr>
        <w:t>das, puérperas e lactantes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>
        <w:rPr>
          <w:sz w:val="16"/>
          <w:szCs w:val="16"/>
        </w:rPr>
        <w:t>e Género no Mercado de Trabalho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</w:t>
      </w:r>
      <w:proofErr w:type="spellStart"/>
      <w:r w:rsidRPr="0012628C">
        <w:rPr>
          <w:sz w:val="16"/>
          <w:szCs w:val="16"/>
        </w:rPr>
        <w:t>ii</w:t>
      </w:r>
      <w:proofErr w:type="spellEnd"/>
      <w:r w:rsidRPr="0012628C">
        <w:rPr>
          <w:sz w:val="16"/>
          <w:szCs w:val="16"/>
        </w:rPr>
        <w:t>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>
        <w:rPr>
          <w:sz w:val="16"/>
          <w:szCs w:val="16"/>
        </w:rPr>
        <w:t>uma efetiva igualdade de género.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Conciliação vida profissional com a vida privada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>
        <w:rPr>
          <w:sz w:val="16"/>
          <w:szCs w:val="16"/>
        </w:rPr>
        <w:t xml:space="preserve"> familiar e a vida profissional.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8683/2011, de 16 de junho – diploma que determina que os estabelecimentos de ensino pré-escolar e do 1.º ciclo do ensino básico se mantenham obrigatoriamente abertos, pelo menos até às 17h</w:t>
      </w:r>
      <w:r>
        <w:rPr>
          <w:sz w:val="16"/>
          <w:szCs w:val="16"/>
        </w:rPr>
        <w:t>30 e, no mínimo, por oito horas.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841E6B" w:rsidRDefault="00841E6B" w:rsidP="006B4073">
      <w:pP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6"/>
          <w:szCs w:val="16"/>
        </w:rPr>
      </w:pPr>
      <w:r>
        <w:rPr>
          <w:i/>
          <w:iCs/>
          <w:sz w:val="18"/>
          <w:szCs w:val="18"/>
        </w:rPr>
        <w:t>Discriminação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</w:t>
      </w:r>
      <w:proofErr w:type="spellStart"/>
      <w:r w:rsidRPr="0012628C">
        <w:rPr>
          <w:sz w:val="16"/>
          <w:szCs w:val="16"/>
        </w:rPr>
        <w:t>ii</w:t>
      </w:r>
      <w:proofErr w:type="spellEnd"/>
      <w:r w:rsidRPr="0012628C">
        <w:rPr>
          <w:sz w:val="16"/>
          <w:szCs w:val="16"/>
        </w:rPr>
        <w:t>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40/2014, de 9 de </w:t>
      </w:r>
      <w:proofErr w:type="gramStart"/>
      <w:r w:rsidRPr="0012628C">
        <w:rPr>
          <w:sz w:val="16"/>
          <w:szCs w:val="16"/>
        </w:rPr>
        <w:t>Julho</w:t>
      </w:r>
      <w:proofErr w:type="gramEnd"/>
      <w:r w:rsidRPr="0012628C">
        <w:rPr>
          <w:sz w:val="16"/>
          <w:szCs w:val="16"/>
        </w:rPr>
        <w:t xml:space="preserve">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3/2011, de 15 de fevereiro – diploma que proíbe qualquer discriminação no acesso e no exercício do trabalho independente e transpõe a Diretiva n.º 2000/43/CE, do Conselho, de 29 de Junho, a Diretiva </w:t>
      </w:r>
      <w:proofErr w:type="gramStart"/>
      <w:r w:rsidRPr="0012628C">
        <w:rPr>
          <w:sz w:val="16"/>
          <w:szCs w:val="16"/>
        </w:rPr>
        <w:t>n.º</w:t>
      </w:r>
      <w:proofErr w:type="gramEnd"/>
      <w:r w:rsidRPr="0012628C">
        <w:rPr>
          <w:sz w:val="16"/>
          <w:szCs w:val="16"/>
        </w:rPr>
        <w:t>2000/78/CE, do Conselho, de 27 de novembro, e a Diretiva n.º 2006/54/CE, do Parlamento Europeu e do Conselho, de 5 de julho.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Convenção Europeia dos Direitos do Homem, de 4 de novembro 1950 – diploma que consagra os Direitos da Humanidade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59/2007, de 4 de setembro, e Decreto-Lei n.º 48/95, de 15 de março – diplomas que alteram o Decreto-Lei n.º 400/82, de 23 de </w:t>
      </w:r>
      <w:proofErr w:type="gramStart"/>
      <w:r w:rsidRPr="0012628C">
        <w:rPr>
          <w:sz w:val="16"/>
          <w:szCs w:val="16"/>
        </w:rPr>
        <w:t>Setembro</w:t>
      </w:r>
      <w:proofErr w:type="gramEnd"/>
      <w:r w:rsidRPr="0012628C">
        <w:rPr>
          <w:sz w:val="16"/>
          <w:szCs w:val="16"/>
        </w:rPr>
        <w:t>, nomeadamente, a alínea c) do n.º 2 do artigo 240.º do Código Penal Português, criminalizando o incitamento à discriminação racial, religiosa e sexual com uma pena de prisão de 6 meses a 5 anos.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18/2004, 11 de maio – diploma que transpõe para a ordem jurídica nacional </w:t>
      </w:r>
      <w:proofErr w:type="gramStart"/>
      <w:r w:rsidRPr="0012628C">
        <w:rPr>
          <w:sz w:val="16"/>
          <w:szCs w:val="16"/>
        </w:rPr>
        <w:t>a Diretiva</w:t>
      </w:r>
      <w:proofErr w:type="gramEnd"/>
      <w:r w:rsidRPr="0012628C">
        <w:rPr>
          <w:sz w:val="16"/>
          <w:szCs w:val="16"/>
        </w:rPr>
        <w:t xml:space="preserve">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>
        <w:rPr>
          <w:sz w:val="16"/>
          <w:szCs w:val="16"/>
        </w:rPr>
        <w:t xml:space="preserve">omem, de 10 de </w:t>
      </w:r>
      <w:proofErr w:type="gramStart"/>
      <w:r>
        <w:rPr>
          <w:sz w:val="16"/>
          <w:szCs w:val="16"/>
        </w:rPr>
        <w:t>Dezembro</w:t>
      </w:r>
      <w:proofErr w:type="gramEnd"/>
      <w:r>
        <w:rPr>
          <w:sz w:val="16"/>
          <w:szCs w:val="16"/>
        </w:rPr>
        <w:t xml:space="preserve"> de 1948.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proofErr w:type="spellStart"/>
      <w:r w:rsidRPr="00D3761B">
        <w:rPr>
          <w:i/>
          <w:iCs/>
          <w:sz w:val="18"/>
          <w:szCs w:val="18"/>
        </w:rPr>
        <w:t>Mainstreaming</w:t>
      </w:r>
      <w:proofErr w:type="spellEnd"/>
      <w:r w:rsidRPr="00D3761B">
        <w:rPr>
          <w:i/>
          <w:iCs/>
          <w:sz w:val="18"/>
          <w:szCs w:val="18"/>
        </w:rPr>
        <w:t xml:space="preserve">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proofErr w:type="spellStart"/>
      <w:r w:rsidRPr="00D3761B">
        <w:rPr>
          <w:i/>
          <w:iCs/>
          <w:sz w:val="18"/>
          <w:szCs w:val="18"/>
        </w:rPr>
        <w:t>Parentalidade</w:t>
      </w:r>
      <w:proofErr w:type="spellEnd"/>
      <w:r w:rsidRPr="00D3761B">
        <w:rPr>
          <w:i/>
          <w:iCs/>
          <w:sz w:val="18"/>
          <w:szCs w:val="18"/>
        </w:rPr>
        <w:t xml:space="preserve">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>
        <w:rPr>
          <w:sz w:val="16"/>
          <w:szCs w:val="16"/>
        </w:rPr>
        <w:t xml:space="preserve"> como valores sociais eminentes.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Declaração de Retificação n.º 40/2009, de 5 de junho – diploma que retifica o n.º 4 do artigo 38.º do Decreto-Lei n.º 89/2009, de 9 de abril, que regulamenta a proteção na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>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>
        <w:rPr>
          <w:sz w:val="16"/>
          <w:szCs w:val="16"/>
        </w:rPr>
        <w:t xml:space="preserve">, alterado pelo </w:t>
      </w:r>
      <w:r w:rsidRPr="00FA6FCE">
        <w:rPr>
          <w:sz w:val="16"/>
          <w:szCs w:val="16"/>
        </w:rPr>
        <w:t xml:space="preserve">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 xml:space="preserve">70/2010, de 16 de </w:t>
      </w:r>
      <w:r>
        <w:rPr>
          <w:sz w:val="16"/>
          <w:szCs w:val="16"/>
        </w:rPr>
        <w:t>j</w:t>
      </w:r>
      <w:r w:rsidRPr="00FA6FCE">
        <w:rPr>
          <w:sz w:val="16"/>
          <w:szCs w:val="16"/>
        </w:rPr>
        <w:t>unho</w:t>
      </w:r>
      <w:r>
        <w:rPr>
          <w:sz w:val="16"/>
          <w:szCs w:val="16"/>
        </w:rPr>
        <w:t xml:space="preserve">,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>133/2012, de 27 de junho</w:t>
      </w:r>
      <w:r>
        <w:rPr>
          <w:sz w:val="16"/>
          <w:szCs w:val="16"/>
        </w:rPr>
        <w:t xml:space="preserve"> e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>n.º</w:t>
      </w:r>
      <w:r w:rsidRPr="00FA6FCE">
        <w:rPr>
          <w:sz w:val="16"/>
          <w:szCs w:val="16"/>
        </w:rPr>
        <w:t xml:space="preserve"> </w:t>
      </w:r>
      <w:r>
        <w:rPr>
          <w:sz w:val="16"/>
          <w:szCs w:val="16"/>
        </w:rPr>
        <w:t>120/2015, de 1 de s</w:t>
      </w:r>
      <w:r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 xml:space="preserve"> no âmbito do sistema previdencial e no subsistema de solidariedade, e o quadro legal da proteção da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>, em termos gerais.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 xml:space="preserve">– diploma que regulamenta a proteção na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>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>
        <w:rPr>
          <w:sz w:val="16"/>
          <w:szCs w:val="16"/>
        </w:rPr>
        <w:t>bre responsabilidades parentais.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>
        <w:rPr>
          <w:sz w:val="16"/>
          <w:szCs w:val="16"/>
        </w:rPr>
        <w:t>cial aos pais e mães estudantes.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636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55BEE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Violência Doméstica</w:t>
            </w:r>
          </w:p>
        </w:tc>
      </w:tr>
    </w:tbl>
    <w:p w:rsidR="00841E6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Vigilância eletrónica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>
        <w:rPr>
          <w:sz w:val="16"/>
          <w:szCs w:val="16"/>
        </w:rPr>
        <w:t>artigo 5.º.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>
        <w:rPr>
          <w:sz w:val="16"/>
          <w:szCs w:val="16"/>
        </w:rPr>
        <w:t>e 26ª alteração ao Código Penal.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>
        <w:rPr>
          <w:sz w:val="16"/>
          <w:szCs w:val="16"/>
        </w:rPr>
        <w:t xml:space="preserve"> n.º 115/2009, de 12 de outubro.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Portaria n.º 220-A/2010, de 16 de abril – diploma que estabelece as condições de utilização inicial dos meios técnicos de teleassistência, previstos nos n.</w:t>
      </w:r>
      <w:r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>
        <w:rPr>
          <w:sz w:val="16"/>
          <w:szCs w:val="16"/>
        </w:rPr>
        <w:t>1.º do Código de Processo Penal.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>Violência doméstica – Técnicos de apoio à vítima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</w:t>
      </w:r>
      <w:proofErr w:type="gramStart"/>
      <w:r w:rsidRPr="00D3761B">
        <w:rPr>
          <w:sz w:val="16"/>
          <w:szCs w:val="16"/>
        </w:rPr>
        <w:t>Abril</w:t>
      </w:r>
      <w:proofErr w:type="gramEnd"/>
      <w:r w:rsidRPr="00D3761B">
        <w:rPr>
          <w:sz w:val="16"/>
          <w:szCs w:val="16"/>
        </w:rPr>
        <w:t xml:space="preserve">, D.R. (II série) de 16 de Abril (suplemento): – </w:t>
      </w:r>
      <w:r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>
        <w:rPr>
          <w:sz w:val="16"/>
          <w:szCs w:val="16"/>
        </w:rPr>
        <w:t>dos técnicos de apoio à vítima.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636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9D6EB5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não discriminação em razão da deficiência</w:t>
            </w:r>
          </w:p>
        </w:tc>
      </w:tr>
    </w:tbl>
    <w:p w:rsidR="00841E6B" w:rsidRDefault="00841E6B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 xml:space="preserve">Bases gerais </w:t>
      </w:r>
    </w:p>
    <w:p w:rsidR="00841E6B" w:rsidRDefault="00841E6B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841E6B" w:rsidRPr="00A116BC" w:rsidRDefault="00841E6B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>Igualdade no acesso ao emprego e à formação</w:t>
      </w:r>
    </w:p>
    <w:p w:rsidR="00841E6B" w:rsidRDefault="00C3440F" w:rsidP="00386D84">
      <w:pPr>
        <w:pStyle w:val="Bullet"/>
        <w:jc w:val="both"/>
        <w:rPr>
          <w:sz w:val="16"/>
          <w:szCs w:val="16"/>
        </w:rPr>
      </w:pPr>
      <w:hyperlink r:id="rId7" w:tgtFrame="_blank" w:tooltip="Link para • Decreto-lei n.º 290/2009, de 12 de outubro" w:history="1">
        <w:r w:rsidR="00841E6B" w:rsidRPr="009D6EB5">
          <w:rPr>
            <w:sz w:val="16"/>
            <w:szCs w:val="16"/>
          </w:rPr>
          <w:t>Decreto-lei n.º 290/2009, de 12 de outubro</w:t>
        </w:r>
      </w:hyperlink>
      <w:r w:rsidR="00841E6B" w:rsidRPr="009D6EB5">
        <w:rPr>
          <w:sz w:val="16"/>
          <w:szCs w:val="16"/>
        </w:rPr>
        <w:t xml:space="preserve">, com as alterações introduzidas pela </w:t>
      </w:r>
      <w:hyperlink r:id="rId8" w:tgtFrame="_blank" w:tooltip="Link para lei n.º 24/2011, de 16 de junho" w:history="1">
        <w:r w:rsidR="00841E6B" w:rsidRPr="009D6EB5">
          <w:rPr>
            <w:sz w:val="16"/>
            <w:szCs w:val="16"/>
          </w:rPr>
          <w:t>lei n.º 24/2011, de 16 de junho</w:t>
        </w:r>
      </w:hyperlink>
      <w:r w:rsidR="00841E6B" w:rsidRPr="009D6EB5">
        <w:rPr>
          <w:sz w:val="16"/>
          <w:szCs w:val="16"/>
        </w:rPr>
        <w:t xml:space="preserve">, pelo Decreto-lei n.º 131/2013, de 11 de setembro e pelo </w:t>
      </w:r>
      <w:hyperlink r:id="rId9" w:history="1">
        <w:r w:rsidR="00841E6B" w:rsidRPr="009D6EB5">
          <w:rPr>
            <w:sz w:val="16"/>
            <w:szCs w:val="16"/>
          </w:rPr>
          <w:t>Decreto-lei n.º 108/2015, de 17 de junho</w:t>
        </w:r>
      </w:hyperlink>
      <w:r w:rsidR="00841E6B">
        <w:rPr>
          <w:sz w:val="16"/>
          <w:szCs w:val="16"/>
        </w:rPr>
        <w:t xml:space="preserve">, que o republica </w:t>
      </w:r>
      <w:r w:rsidR="00841E6B" w:rsidRPr="00386D84">
        <w:rPr>
          <w:sz w:val="16"/>
          <w:szCs w:val="16"/>
        </w:rPr>
        <w:t>–</w:t>
      </w:r>
      <w:r w:rsidR="00841E6B">
        <w:rPr>
          <w:sz w:val="16"/>
          <w:szCs w:val="16"/>
        </w:rPr>
        <w:t xml:space="preserve"> diploma que c</w:t>
      </w:r>
      <w:r w:rsidR="00841E6B" w:rsidRPr="009D6EB5">
        <w:rPr>
          <w:sz w:val="16"/>
          <w:szCs w:val="16"/>
        </w:rPr>
        <w:t xml:space="preserve">ria o Programa de </w:t>
      </w:r>
      <w:r w:rsidR="00841E6B">
        <w:rPr>
          <w:sz w:val="16"/>
          <w:szCs w:val="16"/>
        </w:rPr>
        <w:t>E</w:t>
      </w:r>
      <w:r w:rsidR="00841E6B" w:rsidRPr="009D6EB5">
        <w:rPr>
          <w:sz w:val="16"/>
          <w:szCs w:val="16"/>
        </w:rPr>
        <w:t xml:space="preserve">mprego e </w:t>
      </w:r>
      <w:r w:rsidR="00841E6B">
        <w:rPr>
          <w:sz w:val="16"/>
          <w:szCs w:val="16"/>
        </w:rPr>
        <w:t>A</w:t>
      </w:r>
      <w:r w:rsidR="00841E6B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Default="00C3440F" w:rsidP="00386D84">
      <w:pPr>
        <w:pStyle w:val="Bullet"/>
        <w:jc w:val="both"/>
        <w:rPr>
          <w:sz w:val="16"/>
          <w:szCs w:val="16"/>
        </w:rPr>
      </w:pPr>
      <w:hyperlink r:id="rId10" w:history="1">
        <w:r w:rsidR="00841E6B" w:rsidRPr="009D6EB5">
          <w:rPr>
            <w:sz w:val="16"/>
            <w:szCs w:val="16"/>
          </w:rPr>
          <w:t>Despacho n.º 8376-B/2015, de 30 de julho</w:t>
        </w:r>
      </w:hyperlink>
      <w:r w:rsidR="00841E6B">
        <w:rPr>
          <w:sz w:val="16"/>
          <w:szCs w:val="16"/>
        </w:rPr>
        <w:t>, que d</w:t>
      </w:r>
      <w:r w:rsidR="00841E6B" w:rsidRPr="009D6EB5">
        <w:rPr>
          <w:sz w:val="16"/>
          <w:szCs w:val="16"/>
        </w:rPr>
        <w:t>efine os aspetos técnicos necessários à execução do Programa</w:t>
      </w:r>
      <w:r w:rsidR="00841E6B">
        <w:rPr>
          <w:sz w:val="16"/>
          <w:szCs w:val="16"/>
        </w:rPr>
        <w:t xml:space="preserve"> </w:t>
      </w:r>
      <w:r w:rsidR="00841E6B" w:rsidRPr="009D6EB5">
        <w:rPr>
          <w:sz w:val="16"/>
          <w:szCs w:val="16"/>
        </w:rPr>
        <w:t>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Pr="009D6EB5" w:rsidRDefault="00841E6B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841E6B" w:rsidRPr="009D6EB5" w:rsidSect="009E03B0">
      <w:headerReference w:type="default" r:id="rId11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E6B" w:rsidRDefault="00841E6B" w:rsidP="004F0B62">
      <w:pPr>
        <w:spacing w:after="0" w:line="240" w:lineRule="auto"/>
      </w:pPr>
      <w:r>
        <w:separator/>
      </w:r>
    </w:p>
  </w:endnote>
  <w:end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E6B" w:rsidRDefault="00841E6B" w:rsidP="004F0B62">
      <w:pPr>
        <w:spacing w:after="0" w:line="240" w:lineRule="auto"/>
      </w:pPr>
      <w:r>
        <w:separator/>
      </w:r>
    </w:p>
  </w:footnote>
  <w:foot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9648"/>
    </w:tblGrid>
    <w:tr w:rsidR="00841E6B" w:rsidRPr="00001E6F" w:rsidTr="00767F78">
      <w:trPr>
        <w:trHeight w:val="851"/>
      </w:trPr>
      <w:tc>
        <w:tcPr>
          <w:tcW w:w="9648" w:type="dxa"/>
          <w:vAlign w:val="center"/>
        </w:tcPr>
        <w:p w:rsidR="00841E6B" w:rsidRPr="00001E6F" w:rsidRDefault="00841E6B" w:rsidP="00767F78">
          <w:pPr>
            <w:spacing w:after="0" w:line="240" w:lineRule="auto"/>
            <w:ind w:right="72"/>
            <w:jc w:val="center"/>
            <w:rPr>
              <w:sz w:val="20"/>
              <w:szCs w:val="20"/>
            </w:rPr>
          </w:pPr>
          <w:r>
            <w:object w:dxaOrig="3447" w:dyaOrig="135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3.5pt;height:32.25pt">
                <v:imagedata r:id="rId1" o:title=""/>
              </v:shape>
              <o:OLEObject Type="Embed" ProgID="Visio.Drawing.11" ShapeID="_x0000_i1025" DrawAspect="Content" ObjectID="_1558441583" r:id="rId2"/>
            </w:object>
          </w:r>
          <w:r>
            <w:tab/>
          </w:r>
          <w:r>
            <w:tab/>
          </w:r>
          <w:r w:rsidR="00080E45">
            <w:rPr>
              <w:noProof/>
              <w:lang w:eastAsia="pt-PT"/>
            </w:rPr>
            <w:drawing>
              <wp:inline distT="0" distB="0" distL="0" distR="0">
                <wp:extent cx="971550" cy="4762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  <w:r>
            <w:tab/>
          </w:r>
          <w:r w:rsidR="00080E45">
            <w:rPr>
              <w:noProof/>
              <w:lang w:eastAsia="pt-PT"/>
            </w:rPr>
            <w:drawing>
              <wp:inline distT="0" distB="0" distL="0" distR="0">
                <wp:extent cx="1247775" cy="4762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77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41E6B" w:rsidRDefault="00841E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>
      <w:start w:val="1"/>
      <w:numFmt w:val="lowerLetter"/>
      <w:lvlText w:val="%2."/>
      <w:lvlJc w:val="left"/>
      <w:pPr>
        <w:ind w:left="1800" w:hanging="360"/>
      </w:pPr>
    </w:lvl>
    <w:lvl w:ilvl="2" w:tplc="0816001B">
      <w:start w:val="1"/>
      <w:numFmt w:val="lowerRoman"/>
      <w:lvlText w:val="%3."/>
      <w:lvlJc w:val="right"/>
      <w:pPr>
        <w:ind w:left="2520" w:hanging="180"/>
      </w:pPr>
    </w:lvl>
    <w:lvl w:ilvl="3" w:tplc="0816000F">
      <w:start w:val="1"/>
      <w:numFmt w:val="decimal"/>
      <w:lvlText w:val="%4."/>
      <w:lvlJc w:val="left"/>
      <w:pPr>
        <w:ind w:left="3240" w:hanging="360"/>
      </w:pPr>
    </w:lvl>
    <w:lvl w:ilvl="4" w:tplc="08160019">
      <w:start w:val="1"/>
      <w:numFmt w:val="lowerLetter"/>
      <w:lvlText w:val="%5."/>
      <w:lvlJc w:val="left"/>
      <w:pPr>
        <w:ind w:left="3960" w:hanging="360"/>
      </w:pPr>
    </w:lvl>
    <w:lvl w:ilvl="5" w:tplc="0816001B">
      <w:start w:val="1"/>
      <w:numFmt w:val="lowerRoman"/>
      <w:lvlText w:val="%6."/>
      <w:lvlJc w:val="right"/>
      <w:pPr>
        <w:ind w:left="4680" w:hanging="180"/>
      </w:pPr>
    </w:lvl>
    <w:lvl w:ilvl="6" w:tplc="0816000F">
      <w:start w:val="1"/>
      <w:numFmt w:val="decimal"/>
      <w:lvlText w:val="%7."/>
      <w:lvlJc w:val="left"/>
      <w:pPr>
        <w:ind w:left="5400" w:hanging="360"/>
      </w:pPr>
    </w:lvl>
    <w:lvl w:ilvl="7" w:tplc="08160019">
      <w:start w:val="1"/>
      <w:numFmt w:val="lowerLetter"/>
      <w:lvlText w:val="%8."/>
      <w:lvlJc w:val="left"/>
      <w:pPr>
        <w:ind w:left="6120" w:hanging="360"/>
      </w:pPr>
    </w:lvl>
    <w:lvl w:ilvl="8" w:tplc="0816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534" w:hanging="360"/>
      </w:pPr>
    </w:lvl>
    <w:lvl w:ilvl="2" w:tplc="0816001B">
      <w:start w:val="1"/>
      <w:numFmt w:val="lowerRoman"/>
      <w:lvlText w:val="%3."/>
      <w:lvlJc w:val="right"/>
      <w:pPr>
        <w:ind w:left="2254" w:hanging="180"/>
      </w:pPr>
    </w:lvl>
    <w:lvl w:ilvl="3" w:tplc="0816000F">
      <w:start w:val="1"/>
      <w:numFmt w:val="decimal"/>
      <w:lvlText w:val="%4."/>
      <w:lvlJc w:val="left"/>
      <w:pPr>
        <w:ind w:left="2974" w:hanging="360"/>
      </w:pPr>
    </w:lvl>
    <w:lvl w:ilvl="4" w:tplc="08160019">
      <w:start w:val="1"/>
      <w:numFmt w:val="lowerLetter"/>
      <w:lvlText w:val="%5."/>
      <w:lvlJc w:val="left"/>
      <w:pPr>
        <w:ind w:left="3694" w:hanging="360"/>
      </w:pPr>
    </w:lvl>
    <w:lvl w:ilvl="5" w:tplc="0816001B">
      <w:start w:val="1"/>
      <w:numFmt w:val="lowerRoman"/>
      <w:lvlText w:val="%6."/>
      <w:lvlJc w:val="right"/>
      <w:pPr>
        <w:ind w:left="4414" w:hanging="180"/>
      </w:pPr>
    </w:lvl>
    <w:lvl w:ilvl="6" w:tplc="0816000F">
      <w:start w:val="1"/>
      <w:numFmt w:val="decimal"/>
      <w:lvlText w:val="%7."/>
      <w:lvlJc w:val="left"/>
      <w:pPr>
        <w:ind w:left="5134" w:hanging="360"/>
      </w:pPr>
    </w:lvl>
    <w:lvl w:ilvl="7" w:tplc="08160019">
      <w:start w:val="1"/>
      <w:numFmt w:val="lowerLetter"/>
      <w:lvlText w:val="%8."/>
      <w:lvlJc w:val="left"/>
      <w:pPr>
        <w:ind w:left="5854" w:hanging="360"/>
      </w:pPr>
    </w:lvl>
    <w:lvl w:ilvl="8" w:tplc="0816001B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01E6F"/>
    <w:rsid w:val="00055BEE"/>
    <w:rsid w:val="00060E8A"/>
    <w:rsid w:val="000630F0"/>
    <w:rsid w:val="0007537E"/>
    <w:rsid w:val="0007582B"/>
    <w:rsid w:val="00080C09"/>
    <w:rsid w:val="00080E45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67F78"/>
    <w:rsid w:val="00784B57"/>
    <w:rsid w:val="00792D61"/>
    <w:rsid w:val="007A312F"/>
    <w:rsid w:val="007A7CD2"/>
    <w:rsid w:val="007C22BF"/>
    <w:rsid w:val="007C3B65"/>
    <w:rsid w:val="007E450D"/>
    <w:rsid w:val="007E5168"/>
    <w:rsid w:val="008003BC"/>
    <w:rsid w:val="00816F12"/>
    <w:rsid w:val="00820591"/>
    <w:rsid w:val="00821812"/>
    <w:rsid w:val="00834439"/>
    <w:rsid w:val="00841E6B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07"/>
    <w:rsid w:val="009C6484"/>
    <w:rsid w:val="009D6EB5"/>
    <w:rsid w:val="009E03B0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D670B"/>
    <w:rsid w:val="00AF5C91"/>
    <w:rsid w:val="00B30AC1"/>
    <w:rsid w:val="00B52496"/>
    <w:rsid w:val="00B7703E"/>
    <w:rsid w:val="00B908D2"/>
    <w:rsid w:val="00C01BDB"/>
    <w:rsid w:val="00C12030"/>
    <w:rsid w:val="00C3440F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3761B"/>
    <w:rsid w:val="00D6443B"/>
    <w:rsid w:val="00D724F7"/>
    <w:rsid w:val="00D95703"/>
    <w:rsid w:val="00DA4D2C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D65C0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  <w15:docId w15:val="{1CEBB7CD-DAEE-4538-834C-0FBCF4F6B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  <w:pPr>
      <w:spacing w:after="200" w:line="276" w:lineRule="auto"/>
    </w:pPr>
    <w:rPr>
      <w:rFonts w:cs="Calibri"/>
      <w:lang w:eastAsia="en-US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B52496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9"/>
    <w:qFormat/>
    <w:rsid w:val="00B52496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9"/>
    <w:qFormat/>
    <w:rsid w:val="00B52496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Cabealho4">
    <w:name w:val="heading 4"/>
    <w:basedOn w:val="Normal"/>
    <w:next w:val="Normal"/>
    <w:link w:val="Cabealho4Carter"/>
    <w:uiPriority w:val="99"/>
    <w:qFormat/>
    <w:rsid w:val="00B52496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Cabealho5">
    <w:name w:val="heading 5"/>
    <w:basedOn w:val="Normal"/>
    <w:next w:val="Normal"/>
    <w:link w:val="Cabealho5Carter"/>
    <w:uiPriority w:val="99"/>
    <w:qFormat/>
    <w:rsid w:val="00B5249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Cabealho6">
    <w:name w:val="heading 6"/>
    <w:basedOn w:val="Normal"/>
    <w:next w:val="Normal"/>
    <w:link w:val="Cabealho6Carter"/>
    <w:uiPriority w:val="99"/>
    <w:qFormat/>
    <w:rsid w:val="00B52496"/>
    <w:pPr>
      <w:keepNext/>
      <w:keepLines/>
      <w:spacing w:before="200" w:after="0"/>
      <w:outlineLvl w:val="5"/>
    </w:pPr>
    <w:rPr>
      <w:rFonts w:ascii="Cambria" w:eastAsia="Times New Roman" w:hAnsi="Cambria" w:cs="Cambria"/>
      <w:i/>
      <w:iCs/>
      <w:color w:val="243F60"/>
    </w:rPr>
  </w:style>
  <w:style w:type="paragraph" w:styleId="Cabealho7">
    <w:name w:val="heading 7"/>
    <w:basedOn w:val="Normal"/>
    <w:next w:val="Normal"/>
    <w:link w:val="Cabealho7Carter"/>
    <w:uiPriority w:val="99"/>
    <w:qFormat/>
    <w:rsid w:val="00B52496"/>
    <w:pPr>
      <w:keepNext/>
      <w:keepLines/>
      <w:spacing w:before="200" w:after="0"/>
      <w:outlineLvl w:val="6"/>
    </w:pPr>
    <w:rPr>
      <w:rFonts w:ascii="Cambria" w:eastAsia="Times New Roman" w:hAnsi="Cambria" w:cs="Cambria"/>
      <w:i/>
      <w:iCs/>
      <w:color w:val="404040"/>
    </w:rPr>
  </w:style>
  <w:style w:type="paragraph" w:styleId="Cabealho8">
    <w:name w:val="heading 8"/>
    <w:basedOn w:val="Normal"/>
    <w:next w:val="Normal"/>
    <w:link w:val="Cabealho8Carter"/>
    <w:uiPriority w:val="99"/>
    <w:qFormat/>
    <w:rsid w:val="00B52496"/>
    <w:pPr>
      <w:keepNext/>
      <w:keepLines/>
      <w:spacing w:before="200" w:after="0"/>
      <w:outlineLvl w:val="7"/>
    </w:pPr>
    <w:rPr>
      <w:rFonts w:ascii="Cambria" w:eastAsia="Times New Roman" w:hAnsi="Cambria" w:cs="Cambria"/>
      <w:color w:val="4F81BD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9"/>
    <w:qFormat/>
    <w:rsid w:val="00B52496"/>
    <w:pPr>
      <w:keepNext/>
      <w:keepLines/>
      <w:spacing w:before="200" w:after="0"/>
      <w:outlineLvl w:val="8"/>
    </w:pPr>
    <w:rPr>
      <w:rFonts w:ascii="Cambria" w:eastAsia="Times New Roman" w:hAnsi="Cambria" w:cs="Cambria"/>
      <w:i/>
      <w:iCs/>
      <w:color w:val="404040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9"/>
    <w:locked/>
    <w:rsid w:val="00B52496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9"/>
    <w:locked/>
    <w:rsid w:val="00B52496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9"/>
    <w:locked/>
    <w:rsid w:val="00B52496"/>
    <w:rPr>
      <w:rFonts w:ascii="Cambria" w:hAnsi="Cambria" w:cs="Cambria"/>
      <w:b/>
      <w:bCs/>
      <w:color w:val="4F81BD"/>
    </w:rPr>
  </w:style>
  <w:style w:type="character" w:customStyle="1" w:styleId="Cabealho4Carter">
    <w:name w:val="Cabeçalho 4 Caráter"/>
    <w:basedOn w:val="Tipodeletrapredefinidodopargrafo"/>
    <w:link w:val="Cabealho4"/>
    <w:uiPriority w:val="99"/>
    <w:locked/>
    <w:rsid w:val="00B52496"/>
    <w:rPr>
      <w:rFonts w:ascii="Cambria" w:hAnsi="Cambria" w:cs="Cambria"/>
      <w:b/>
      <w:bCs/>
      <w:i/>
      <w:iCs/>
      <w:color w:val="4F81BD"/>
    </w:rPr>
  </w:style>
  <w:style w:type="character" w:customStyle="1" w:styleId="Cabealho5Carter">
    <w:name w:val="Cabeçalho 5 Caráter"/>
    <w:basedOn w:val="Tipodeletrapredefinidodopargrafo"/>
    <w:link w:val="Cabealho5"/>
    <w:uiPriority w:val="99"/>
    <w:semiHidden/>
    <w:locked/>
    <w:rsid w:val="00B52496"/>
    <w:rPr>
      <w:rFonts w:ascii="Cambria" w:hAnsi="Cambria" w:cs="Cambria"/>
      <w:color w:val="243F60"/>
    </w:rPr>
  </w:style>
  <w:style w:type="character" w:customStyle="1" w:styleId="Cabealho6Carter">
    <w:name w:val="Cabeçalho 6 Caráter"/>
    <w:basedOn w:val="Tipodeletrapredefinidodopargrafo"/>
    <w:link w:val="Cabealho6"/>
    <w:uiPriority w:val="99"/>
    <w:semiHidden/>
    <w:locked/>
    <w:rsid w:val="00B52496"/>
    <w:rPr>
      <w:rFonts w:ascii="Cambria" w:hAnsi="Cambria" w:cs="Cambria"/>
      <w:i/>
      <w:iCs/>
      <w:color w:val="243F60"/>
    </w:rPr>
  </w:style>
  <w:style w:type="character" w:customStyle="1" w:styleId="Cabealho7Carter">
    <w:name w:val="Cabeçalho 7 Caráter"/>
    <w:basedOn w:val="Tipodeletrapredefinidodopargrafo"/>
    <w:link w:val="Cabealho7"/>
    <w:uiPriority w:val="99"/>
    <w:semiHidden/>
    <w:locked/>
    <w:rsid w:val="00B52496"/>
    <w:rPr>
      <w:rFonts w:ascii="Cambria" w:hAnsi="Cambria" w:cs="Cambria"/>
      <w:i/>
      <w:iCs/>
      <w:color w:val="404040"/>
    </w:rPr>
  </w:style>
  <w:style w:type="character" w:customStyle="1" w:styleId="Cabealho8Carter">
    <w:name w:val="Cabeçalho 8 Caráter"/>
    <w:basedOn w:val="Tipodeletrapredefinidodopargrafo"/>
    <w:link w:val="Cabealho8"/>
    <w:uiPriority w:val="99"/>
    <w:semiHidden/>
    <w:locked/>
    <w:rsid w:val="00B52496"/>
    <w:rPr>
      <w:rFonts w:ascii="Cambria" w:hAnsi="Cambria" w:cs="Cambria"/>
      <w:color w:val="4F81BD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9"/>
    <w:semiHidden/>
    <w:locked/>
    <w:rsid w:val="00B52496"/>
    <w:rPr>
      <w:rFonts w:ascii="Cambria" w:hAnsi="Cambria" w:cs="Cambria"/>
      <w:i/>
      <w:iCs/>
      <w:color w:val="404040"/>
      <w:sz w:val="20"/>
      <w:szCs w:val="20"/>
    </w:rPr>
  </w:style>
  <w:style w:type="paragraph" w:customStyle="1" w:styleId="Bullet">
    <w:name w:val="Bullet"/>
    <w:basedOn w:val="PargrafodaLista"/>
    <w:link w:val="BulletCarcter"/>
    <w:uiPriority w:val="99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uiPriority w:val="99"/>
    <w:locked/>
    <w:rsid w:val="00B52496"/>
  </w:style>
  <w:style w:type="paragraph" w:styleId="PargrafodaLista">
    <w:name w:val="List Paragraph"/>
    <w:basedOn w:val="Normal"/>
    <w:link w:val="PargrafodaListaCarter"/>
    <w:uiPriority w:val="99"/>
    <w:qFormat/>
    <w:rsid w:val="00B52496"/>
    <w:pPr>
      <w:ind w:left="720"/>
    </w:pPr>
  </w:style>
  <w:style w:type="paragraph" w:customStyle="1" w:styleId="BulletSuublinhado">
    <w:name w:val="Bullet Suublinhado"/>
    <w:basedOn w:val="PargrafodaLista"/>
    <w:link w:val="BulletSuublinhadoCarcter"/>
    <w:uiPriority w:val="99"/>
    <w:rsid w:val="00B52496"/>
    <w:pPr>
      <w:spacing w:before="120" w:after="0" w:line="360" w:lineRule="auto"/>
      <w:ind w:hanging="360"/>
    </w:pPr>
    <w:rPr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uiPriority w:val="99"/>
    <w:locked/>
    <w:rsid w:val="00B52496"/>
    <w:rPr>
      <w:u w:val="single"/>
    </w:rPr>
  </w:style>
  <w:style w:type="paragraph" w:customStyle="1" w:styleId="Indentado">
    <w:name w:val="Indentado"/>
    <w:basedOn w:val="Normal"/>
    <w:link w:val="IndentadoCarcter"/>
    <w:uiPriority w:val="99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uiPriority w:val="99"/>
    <w:locked/>
    <w:rsid w:val="00B52496"/>
  </w:style>
  <w:style w:type="paragraph" w:customStyle="1" w:styleId="Fonte">
    <w:name w:val="Fonte"/>
    <w:basedOn w:val="Normal"/>
    <w:link w:val="FonteCarcter"/>
    <w:uiPriority w:val="99"/>
    <w:rsid w:val="00B52496"/>
    <w:pPr>
      <w:jc w:val="center"/>
    </w:pPr>
    <w:rPr>
      <w:sz w:val="18"/>
      <w:szCs w:val="18"/>
    </w:rPr>
  </w:style>
  <w:style w:type="character" w:customStyle="1" w:styleId="FonteCarcter">
    <w:name w:val="Fonte Carácter"/>
    <w:basedOn w:val="Tipodeletrapredefinidodopargrafo"/>
    <w:link w:val="Fonte"/>
    <w:uiPriority w:val="99"/>
    <w:locked/>
    <w:rsid w:val="00B52496"/>
    <w:rPr>
      <w:sz w:val="18"/>
      <w:szCs w:val="18"/>
    </w:rPr>
  </w:style>
  <w:style w:type="paragraph" w:customStyle="1" w:styleId="TtuloTabela">
    <w:name w:val="TítuloTabela"/>
    <w:basedOn w:val="Indentado"/>
    <w:link w:val="TtuloTabelaCarcter"/>
    <w:uiPriority w:val="99"/>
    <w:rsid w:val="00B52496"/>
    <w:pPr>
      <w:ind w:left="0"/>
      <w:jc w:val="center"/>
    </w:pPr>
    <w:rPr>
      <w:b/>
      <w:bCs/>
      <w:sz w:val="20"/>
      <w:szCs w:val="20"/>
    </w:rPr>
  </w:style>
  <w:style w:type="character" w:customStyle="1" w:styleId="TtuloTabelaCarcter">
    <w:name w:val="TítuloTabela Carácter"/>
    <w:basedOn w:val="IndentadoCarcter"/>
    <w:link w:val="TtuloTabela"/>
    <w:uiPriority w:val="99"/>
    <w:locked/>
    <w:rsid w:val="00B52496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99"/>
    <w:semiHidden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99"/>
    <w:semiHidden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99"/>
    <w:semiHidden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99"/>
    <w:qFormat/>
    <w:rsid w:val="00B52496"/>
    <w:pPr>
      <w:spacing w:line="240" w:lineRule="auto"/>
    </w:pPr>
    <w:rPr>
      <w:b/>
      <w:bCs/>
      <w:color w:val="4F81BD"/>
      <w:sz w:val="18"/>
      <w:szCs w:val="18"/>
    </w:rPr>
  </w:style>
  <w:style w:type="paragraph" w:styleId="Ttulo">
    <w:name w:val="Title"/>
    <w:basedOn w:val="Normal"/>
    <w:next w:val="Normal"/>
    <w:link w:val="TtuloCarter"/>
    <w:uiPriority w:val="99"/>
    <w:qFormat/>
    <w:rsid w:val="00B52496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99"/>
    <w:locked/>
    <w:rsid w:val="00B52496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99"/>
    <w:qFormat/>
    <w:rsid w:val="00B5249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99"/>
    <w:locked/>
    <w:rsid w:val="00B5249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Forte">
    <w:name w:val="Strong"/>
    <w:basedOn w:val="Tipodeletrapredefinidodopargrafo"/>
    <w:uiPriority w:val="99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99"/>
    <w:qFormat/>
    <w:rsid w:val="00B52496"/>
    <w:rPr>
      <w:i/>
      <w:iCs/>
    </w:rPr>
  </w:style>
  <w:style w:type="paragraph" w:styleId="SemEspaamento">
    <w:name w:val="No Spacing"/>
    <w:link w:val="SemEspaamentoCarter"/>
    <w:uiPriority w:val="99"/>
    <w:qFormat/>
    <w:rsid w:val="00B52496"/>
    <w:rPr>
      <w:rFonts w:cs="Calibri"/>
      <w:lang w:eastAsia="en-US"/>
    </w:rPr>
  </w:style>
  <w:style w:type="character" w:customStyle="1" w:styleId="SemEspaamentoCarter">
    <w:name w:val="Sem Espaçamento Caráter"/>
    <w:basedOn w:val="Tipodeletrapredefinidodopargrafo"/>
    <w:link w:val="SemEspaamento"/>
    <w:uiPriority w:val="99"/>
    <w:locked/>
    <w:rsid w:val="00B52496"/>
    <w:rPr>
      <w:sz w:val="22"/>
      <w:szCs w:val="22"/>
      <w:lang w:val="pt-PT"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uiPriority w:val="99"/>
    <w:locked/>
    <w:rsid w:val="00B52496"/>
  </w:style>
  <w:style w:type="paragraph" w:styleId="Citao">
    <w:name w:val="Quote"/>
    <w:basedOn w:val="Normal"/>
    <w:next w:val="Normal"/>
    <w:link w:val="CitaoCarter"/>
    <w:uiPriority w:val="99"/>
    <w:qFormat/>
    <w:rsid w:val="00B52496"/>
    <w:rPr>
      <w:i/>
      <w:iCs/>
      <w:color w:val="000000"/>
    </w:rPr>
  </w:style>
  <w:style w:type="character" w:customStyle="1" w:styleId="CitaoCarter">
    <w:name w:val="Citação Caráter"/>
    <w:basedOn w:val="Tipodeletrapredefinidodopargrafo"/>
    <w:link w:val="Citao"/>
    <w:uiPriority w:val="99"/>
    <w:locked/>
    <w:rsid w:val="00B52496"/>
    <w:rPr>
      <w:i/>
      <w:iCs/>
      <w:color w:val="000000"/>
    </w:rPr>
  </w:style>
  <w:style w:type="paragraph" w:styleId="CitaoIntensa">
    <w:name w:val="Intense Quote"/>
    <w:basedOn w:val="Normal"/>
    <w:next w:val="Normal"/>
    <w:link w:val="CitaoIntensaCarter"/>
    <w:uiPriority w:val="99"/>
    <w:qFormat/>
    <w:rsid w:val="00B5249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arter">
    <w:name w:val="Citação Intensa Caráter"/>
    <w:basedOn w:val="Tipodeletrapredefinidodopargrafo"/>
    <w:link w:val="CitaoIntensa"/>
    <w:uiPriority w:val="99"/>
    <w:locked/>
    <w:rsid w:val="00B52496"/>
    <w:rPr>
      <w:b/>
      <w:bCs/>
      <w:i/>
      <w:iCs/>
      <w:color w:val="4F81BD"/>
    </w:rPr>
  </w:style>
  <w:style w:type="character" w:styleId="nfaseDiscreto">
    <w:name w:val="Subtle Emphasis"/>
    <w:aliases w:val="Ênfase Discreto1"/>
    <w:basedOn w:val="Tipodeletrapredefinidodopargrafo"/>
    <w:uiPriority w:val="99"/>
    <w:qFormat/>
    <w:rsid w:val="00B52496"/>
    <w:rPr>
      <w:i/>
      <w:iCs/>
      <w:color w:val="808080"/>
    </w:rPr>
  </w:style>
  <w:style w:type="character" w:styleId="nfaseIntenso">
    <w:name w:val="Intense Emphasis"/>
    <w:basedOn w:val="Tipodeletrapredefinidodopargrafo"/>
    <w:uiPriority w:val="99"/>
    <w:qFormat/>
    <w:rsid w:val="00B52496"/>
    <w:rPr>
      <w:b/>
      <w:bCs/>
      <w:i/>
      <w:iCs/>
      <w:color w:val="4F81BD"/>
    </w:rPr>
  </w:style>
  <w:style w:type="character" w:styleId="RefernciaDiscreta">
    <w:name w:val="Subtle Reference"/>
    <w:basedOn w:val="Tipodeletrapredefinidodopargrafo"/>
    <w:uiPriority w:val="99"/>
    <w:qFormat/>
    <w:rsid w:val="00B52496"/>
    <w:rPr>
      <w:smallCaps/>
      <w:color w:val="auto"/>
      <w:u w:val="single"/>
    </w:rPr>
  </w:style>
  <w:style w:type="character" w:styleId="RefernciaIntensa">
    <w:name w:val="Intense Reference"/>
    <w:basedOn w:val="Tipodeletrapredefinidodopargrafo"/>
    <w:uiPriority w:val="99"/>
    <w:qFormat/>
    <w:rsid w:val="00B52496"/>
    <w:rPr>
      <w:b/>
      <w:bCs/>
      <w:smallCaps/>
      <w:color w:val="auto"/>
      <w:spacing w:val="5"/>
      <w:u w:val="single"/>
    </w:rPr>
  </w:style>
  <w:style w:type="character" w:styleId="TtulodoLivro">
    <w:name w:val="Book Title"/>
    <w:basedOn w:val="Tipodeletrapredefinidodopargrafo"/>
    <w:uiPriority w:val="99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99"/>
    <w:qFormat/>
    <w:rsid w:val="00B52496"/>
    <w:pPr>
      <w:outlineLvl w:val="9"/>
    </w:pPr>
  </w:style>
  <w:style w:type="table" w:styleId="Tabelacomgrelha">
    <w:name w:val="Table Grid"/>
    <w:basedOn w:val="Tabelanormal"/>
    <w:uiPriority w:val="99"/>
    <w:rsid w:val="00AD642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4F0B62"/>
  </w:style>
  <w:style w:type="paragraph" w:styleId="Rodap">
    <w:name w:val="footer"/>
    <w:basedOn w:val="Normal"/>
    <w:link w:val="Rodap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locked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rsid w:val="004B1118"/>
    <w:rPr>
      <w:vertAlign w:val="superscript"/>
    </w:rPr>
  </w:style>
  <w:style w:type="table" w:styleId="ListaClara-Cor1">
    <w:name w:val="Light List Accent 1"/>
    <w:basedOn w:val="Tabelanormal"/>
    <w:uiPriority w:val="99"/>
    <w:rsid w:val="00AF5C91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ombreadoClaro-Cor1">
    <w:name w:val="Light Shading Accent 1"/>
    <w:basedOn w:val="Tabelanormal"/>
    <w:uiPriority w:val="99"/>
    <w:rsid w:val="00273F5B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locked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99"/>
    <w:rsid w:val="0007582B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Hiperligao">
    <w:name w:val="Hyperlink"/>
    <w:basedOn w:val="Tipodeletrapredefinidodopargrafo"/>
    <w:uiPriority w:val="99"/>
    <w:semiHidden/>
    <w:rsid w:val="009D6EB5"/>
    <w:rPr>
      <w:color w:val="auto"/>
      <w:u w:val="none"/>
      <w:effect w:val="none"/>
    </w:rPr>
  </w:style>
  <w:style w:type="paragraph" w:styleId="NormalWeb">
    <w:name w:val="Normal (Web)"/>
    <w:basedOn w:val="Normal"/>
    <w:uiPriority w:val="99"/>
    <w:semiHidden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25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25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5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5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5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25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259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25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259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259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25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11/06/11500/03177031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re.pt/pdf1s/2009/10/19700/0748207497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re.pt/application/file/69906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e.pt/application/file/6750803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1F735FEA.dotm</Template>
  <TotalTime>1</TotalTime>
  <Pages>5</Pages>
  <Words>3156</Words>
  <Characters>17094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Avaliação da Integração da Perspetiva da Igualdade entre Homens e Mulheres e Igualdade de Oportunidades e da não descriminação, em operações cofinanciadas</vt:lpstr>
    </vt:vector>
  </TitlesOfParts>
  <Company>Hewlett-Packard Company</Company>
  <LinksUpToDate>false</LinksUpToDate>
  <CharactersWithSpaces>20210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Avaliação da Integração da Perspetiva da Igualdade entre Homens e Mulheres e Igualdade de Oportunidades e da não descriminação, em operações cofinanciadas</dc:title>
  <dc:subject/>
  <dc:creator>FS</dc:creator>
  <cp:keywords/>
  <dc:description/>
  <cp:lastModifiedBy>Pedro Vieira</cp:lastModifiedBy>
  <cp:revision>2</cp:revision>
  <cp:lastPrinted>2015-09-08T17:20:00Z</cp:lastPrinted>
  <dcterms:created xsi:type="dcterms:W3CDTF">2017-06-08T14:40:00Z</dcterms:created>
  <dcterms:modified xsi:type="dcterms:W3CDTF">2017-06-08T14:40:00Z</dcterms:modified>
</cp:coreProperties>
</file>