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</w:t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que</w:t>
      </w:r>
      <w:proofErr w:type="gramEnd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A operação (e qualquer uma das suas componentes determinantes para a elegibilidade da operação) não se </w:t>
      </w:r>
      <w:proofErr w:type="gramStart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encontra(m</w:t>
      </w:r>
      <w:proofErr w:type="gramEnd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) materialmente concluída(s) ou totalmente executada(s) antes da apresentação da candidatura: inexistência de </w:t>
      </w:r>
      <w:proofErr w:type="gramStart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auto(s</w:t>
      </w:r>
      <w:proofErr w:type="gramEnd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7D254C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D254C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D254C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D254C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A7F67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EFBB9-F6ED-4496-9EB8-39E37835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570DE316.dotm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2016-06-08T15:58:00Z</dcterms:created>
  <dcterms:modified xsi:type="dcterms:W3CDTF">2016-06-08T15:58:00Z</dcterms:modified>
</cp:coreProperties>
</file>