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sz w:val="16"/>
                <w:szCs w:val="16"/>
              </w:rPr>
              <w:br w:type="page"/>
            </w:r>
            <w:r w:rsidRPr="00001E6F">
              <w:rPr>
                <w:b/>
                <w:bCs/>
                <w:sz w:val="16"/>
                <w:szCs w:val="16"/>
              </w:rPr>
              <w:t>Avaliação da Integração da Perspetiva da Igualdade entre Homens e Mulheres e Igualdade de Oportunidades e da não descriminação, em operações cofinanciadas</w:t>
            </w:r>
          </w:p>
        </w:tc>
      </w:tr>
    </w:tbl>
    <w:p w:rsidR="00841E6B" w:rsidRDefault="00841E6B" w:rsidP="000A2C07">
      <w:pPr>
        <w:spacing w:after="0"/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4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71D21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Default="00841E6B" w:rsidP="00671D21">
      <w:pPr>
        <w:spacing w:after="0" w:line="240" w:lineRule="auto"/>
      </w:pPr>
    </w:p>
    <w:tbl>
      <w:tblPr>
        <w:tblW w:w="0" w:type="auto"/>
        <w:tblInd w:w="-106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</w:tblBorders>
        <w:tblLook w:val="00A0" w:firstRow="1" w:lastRow="0" w:firstColumn="1" w:lastColumn="0" w:noHBand="0" w:noVBand="0"/>
      </w:tblPr>
      <w:tblGrid>
        <w:gridCol w:w="9734"/>
      </w:tblGrid>
      <w:tr w:rsidR="00841E6B" w:rsidRPr="00001E6F">
        <w:trPr>
          <w:trHeight w:val="170"/>
        </w:trPr>
        <w:tc>
          <w:tcPr>
            <w:tcW w:w="9747" w:type="dxa"/>
            <w:tcBorders>
              <w:top w:val="single" w:sz="4" w:space="0" w:color="17365D"/>
            </w:tcBorders>
            <w:shd w:val="clear" w:color="auto" w:fill="17365D"/>
            <w:vAlign w:val="center"/>
          </w:tcPr>
          <w:p w:rsidR="00841E6B" w:rsidRPr="00001E6F" w:rsidRDefault="00841E6B" w:rsidP="00671D21">
            <w:pPr>
              <w:spacing w:before="60" w:after="0" w:line="240" w:lineRule="auto"/>
              <w:jc w:val="center"/>
              <w:rPr>
                <w:sz w:val="18"/>
                <w:szCs w:val="18"/>
              </w:rPr>
            </w:pPr>
            <w:r w:rsidRPr="00001E6F">
              <w:rPr>
                <w:sz w:val="18"/>
                <w:szCs w:val="18"/>
              </w:rPr>
              <w:t>Igualdade entre Homens e Mulheres e Igualdade de Oportunidades e da não descriminação</w:t>
            </w:r>
          </w:p>
          <w:p w:rsidR="00841E6B" w:rsidRPr="00001E6F" w:rsidRDefault="00841E6B" w:rsidP="00671D21">
            <w:pPr>
              <w:spacing w:after="0" w:line="240" w:lineRule="auto"/>
              <w:jc w:val="center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1303/2013 do Parlamento Europeu e do Conselho, de 17 de Dezembro</w:t>
            </w:r>
          </w:p>
          <w:p w:rsidR="00841E6B" w:rsidRPr="00001E6F" w:rsidRDefault="00841E6B" w:rsidP="00671D21">
            <w:pPr>
              <w:spacing w:after="60" w:line="240" w:lineRule="auto"/>
              <w:jc w:val="center"/>
              <w:rPr>
                <w:i/>
                <w:iCs/>
                <w:sz w:val="18"/>
                <w:szCs w:val="18"/>
              </w:rPr>
            </w:pPr>
            <w:r w:rsidRPr="00001E6F">
              <w:rPr>
                <w:i/>
                <w:iCs/>
                <w:sz w:val="16"/>
                <w:szCs w:val="16"/>
              </w:rPr>
              <w:t>Regulamento (UE) n.º 1304/2013 do Parlamento Europeu e do Conselho, de 17 de Dezembro</w:t>
            </w:r>
          </w:p>
        </w:tc>
      </w:tr>
      <w:tr w:rsidR="00841E6B" w:rsidRPr="00001E6F">
        <w:trPr>
          <w:trHeight w:val="170"/>
        </w:trPr>
        <w:tc>
          <w:tcPr>
            <w:tcW w:w="9747" w:type="dxa"/>
            <w:tcBorders>
              <w:bottom w:val="single" w:sz="4" w:space="0" w:color="17365D"/>
            </w:tcBorders>
            <w:vAlign w:val="center"/>
          </w:tcPr>
          <w:p w:rsidR="00841E6B" w:rsidRPr="00001E6F" w:rsidRDefault="00841E6B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Outra legislação aplicável:</w:t>
            </w:r>
            <w:r w:rsidRPr="00001E6F">
              <w:rPr>
                <w:sz w:val="16"/>
                <w:szCs w:val="16"/>
              </w:rPr>
              <w:t xml:space="preserve"> Em anexo outra legislação nacional relevante no domínio da igualdade entre homens e mulheres e igualdade de oportunidades e da não discriminação</w:t>
            </w:r>
          </w:p>
        </w:tc>
      </w:tr>
    </w:tbl>
    <w:p w:rsidR="00841E6B" w:rsidRDefault="00841E6B" w:rsidP="00671D21">
      <w:pPr>
        <w:spacing w:after="0"/>
        <w:rPr>
          <w:i/>
          <w:iCs/>
          <w:sz w:val="8"/>
          <w:szCs w:val="8"/>
        </w:rPr>
      </w:pPr>
    </w:p>
    <w:tbl>
      <w:tblPr>
        <w:tblW w:w="9756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</w:tblGrid>
      <w:tr w:rsidR="00841E6B" w:rsidRPr="00001E6F">
        <w:tc>
          <w:tcPr>
            <w:tcW w:w="3510" w:type="dxa"/>
            <w:vMerge w:val="restart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Questão a verificar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i/>
                <w:iCs/>
                <w:sz w:val="16"/>
                <w:szCs w:val="16"/>
              </w:rPr>
              <w:t>A operação é abrangida:</w:t>
            </w:r>
          </w:p>
        </w:tc>
        <w:tc>
          <w:tcPr>
            <w:tcW w:w="3402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6"/>
                <w:szCs w:val="16"/>
              </w:rPr>
            </w:pPr>
            <w:r w:rsidRPr="00001E6F">
              <w:rPr>
                <w:b/>
                <w:bCs/>
                <w:color w:val="FFFFFF"/>
                <w:sz w:val="16"/>
                <w:szCs w:val="16"/>
              </w:rPr>
              <w:t>A preencher pelas AG</w:t>
            </w:r>
          </w:p>
        </w:tc>
      </w:tr>
      <w:tr w:rsidR="00841E6B" w:rsidRPr="00001E6F">
        <w:trPr>
          <w:gridAfter w:val="1"/>
          <w:wAfter w:w="9" w:type="dxa"/>
        </w:trPr>
        <w:tc>
          <w:tcPr>
            <w:tcW w:w="3510" w:type="dxa"/>
            <w:vMerge/>
            <w:tcBorders>
              <w:left w:val="single" w:sz="4" w:space="0" w:color="17365D"/>
              <w:bottom w:val="single" w:sz="4" w:space="0" w:color="17365D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0A2C07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Evidência documental</w:t>
            </w:r>
            <w:r w:rsidRPr="00001E6F">
              <w:rPr>
                <w:b/>
                <w:bCs/>
                <w:sz w:val="16"/>
                <w:szCs w:val="16"/>
              </w:rPr>
              <w:br/>
            </w:r>
            <w:r w:rsidRPr="00001E6F">
              <w:rPr>
                <w:b/>
                <w:bCs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Verificação pela AG</w:t>
            </w:r>
          </w:p>
        </w:tc>
        <w:tc>
          <w:tcPr>
            <w:tcW w:w="141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17365D"/>
            <w:vAlign w:val="center"/>
          </w:tcPr>
          <w:p w:rsidR="00841E6B" w:rsidRPr="00001E6F" w:rsidRDefault="00841E6B" w:rsidP="00ED65C0">
            <w:pPr>
              <w:spacing w:before="60" w:after="60"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001E6F">
              <w:rPr>
                <w:b/>
                <w:bCs/>
                <w:sz w:val="16"/>
                <w:szCs w:val="16"/>
              </w:rPr>
              <w:t>Observações</w:t>
            </w: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13AC2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Avaliação Global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Operação teve em conta as prioridades nacionais e/ou Europeias em matéria de igualdade entre homens e mulheres, igualdade de oportunidades e da não discriminação em razão da deficiência, raça ou origem étnica, religião ou crença, região, idade ou orientação sexual?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dispõe de indicadores numéricos e qualitativos desagregados por sexo?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F64DA1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Igualdade no acesso ao emprego, no trabalho, no ensino e na formação profissional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2E1F77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promover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23FAA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Operação promoveu a igualdade salarial entre todos, nomeadamente entre mulheres e homens?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</w:tcPr>
          <w:p w:rsidR="00841E6B" w:rsidRPr="00001E6F" w:rsidRDefault="00841E6B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Nos mecanismos de gestão das carreiras dos recursos humanos foram estabelecidos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estabelecidos mecanismos e estratégias para aumentar a proporção do sexo sub-representado nos processos de decisão?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577589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integração de pessoa com deficiência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 e à melhoria das acessibilidades?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AD670B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Promoção da conciliação da vida profissional e familiar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previstas ações destinadas a facilitar a conciliação entre a vida profissional, familiar e pessoal?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color w:val="262626"/>
                <w:sz w:val="12"/>
                <w:szCs w:val="12"/>
                <w:lang w:eastAsia="pt-PT"/>
              </w:rPr>
              <w:t>Foram desenvolvidas ações de apoio a uma parentalidade responsável, em conformidade e respeito pelas diferentes formas de organização familiar?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blPrEx>
          <w:tblBorders>
            <w:top w:val="single" w:sz="4" w:space="0" w:color="17365D"/>
            <w:left w:val="single" w:sz="4" w:space="0" w:color="17365D"/>
            <w:bottom w:val="single" w:sz="4" w:space="0" w:color="17365D"/>
            <w:right w:val="single" w:sz="4" w:space="0" w:color="17365D"/>
            <w:insideH w:val="single" w:sz="4" w:space="0" w:color="17365D"/>
            <w:insideV w:val="single" w:sz="4" w:space="0" w:color="17365D"/>
          </w:tblBorders>
        </w:tblPrEx>
        <w:trPr>
          <w:gridAfter w:val="1"/>
          <w:wAfter w:w="9" w:type="dxa"/>
        </w:trPr>
        <w:tc>
          <w:tcPr>
            <w:tcW w:w="9747" w:type="dxa"/>
            <w:gridSpan w:val="7"/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001E6F">
              <w:rPr>
                <w:i/>
                <w:iCs/>
                <w:sz w:val="16"/>
                <w:szCs w:val="16"/>
              </w:rPr>
              <w:t>Prevenção de práticas discriminatórias</w:t>
            </w: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6B4073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262626"/>
                <w:sz w:val="12"/>
                <w:szCs w:val="12"/>
                <w:lang w:eastAsia="pt-PT"/>
              </w:rPr>
            </w:pPr>
            <w:r w:rsidRPr="00001E6F">
              <w:rPr>
                <w:sz w:val="12"/>
                <w:szCs w:val="12"/>
              </w:rPr>
              <w:t>Foram desenvolvidas medidas de prevenção a situações de assédio, nomeadamente comportamentos indesejados com o objetivo de perturbar ou constranger a pessoa, afetar a sua dignidade ou de lhe criar um ambiente intimidativo, hostil, degradante, humilhante ou desestabilizador?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  <w:tr w:rsidR="00841E6B" w:rsidRPr="00001E6F">
        <w:tc>
          <w:tcPr>
            <w:tcW w:w="3510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512B28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001E6F">
              <w:rPr>
                <w:sz w:val="12"/>
                <w:szCs w:val="12"/>
              </w:rPr>
              <w:t>A Organização registou alguma iniciativa visando a integração no ambiente sócio laboral da empresa de pessoas com deficiência, nomeadamente promovendo o desenvolvimento de comportamentos pessoais e sociais adequados ao estatuto de trabalhador?</w:t>
            </w: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/>
              <w:left w:val="single" w:sz="4" w:space="0" w:color="17365D"/>
              <w:bottom w:val="single" w:sz="4" w:space="0" w:color="17365D"/>
              <w:right w:val="single" w:sz="4" w:space="0" w:color="17365D"/>
            </w:tcBorders>
            <w:vAlign w:val="center"/>
          </w:tcPr>
          <w:p w:rsidR="00841E6B" w:rsidRPr="00001E6F" w:rsidRDefault="00841E6B" w:rsidP="00ED65C0">
            <w:pPr>
              <w:spacing w:before="40" w:after="40" w:line="240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</w:tr>
    </w:tbl>
    <w:p w:rsidR="00841E6B" w:rsidRDefault="00841E6B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841E6B" w:rsidRPr="007572C3" w:rsidRDefault="00841E6B" w:rsidP="00DE52A8">
      <w:pPr>
        <w:spacing w:after="120"/>
        <w:jc w:val="center"/>
        <w:rPr>
          <w:b/>
          <w:bCs/>
        </w:rPr>
      </w:pPr>
      <w:r w:rsidRPr="007572C3">
        <w:rPr>
          <w:b/>
          <w:bCs/>
        </w:rPr>
        <w:lastRenderedPageBreak/>
        <w:t>Anexos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170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6B4073">
            <w:pPr>
              <w:spacing w:before="40" w:after="40" w:line="240" w:lineRule="auto"/>
              <w:rPr>
                <w:b/>
                <w:bCs/>
                <w:i/>
                <w:iCs/>
                <w:sz w:val="16"/>
                <w:szCs w:val="16"/>
              </w:rPr>
            </w:pPr>
            <w:r w:rsidRPr="00001E6F">
              <w:rPr>
                <w:b/>
                <w:bCs/>
                <w:i/>
                <w:iCs/>
                <w:sz w:val="16"/>
                <w:szCs w:val="16"/>
              </w:rPr>
              <w:t>Identificação da Operação e do Beneficiário</w:t>
            </w:r>
          </w:p>
        </w:tc>
      </w:tr>
    </w:tbl>
    <w:p w:rsidR="00841E6B" w:rsidRPr="000A2C07" w:rsidRDefault="00841E6B" w:rsidP="006B4073">
      <w:pPr>
        <w:spacing w:after="0"/>
        <w:rPr>
          <w:sz w:val="4"/>
          <w:szCs w:val="4"/>
        </w:rPr>
      </w:pPr>
    </w:p>
    <w:tbl>
      <w:tblPr>
        <w:tblW w:w="0" w:type="auto"/>
        <w:tblInd w:w="-106" w:type="dxa"/>
        <w:tblBorders>
          <w:top w:val="single" w:sz="12" w:space="0" w:color="17365D"/>
          <w:bottom w:val="single" w:sz="12" w:space="0" w:color="17365D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1417"/>
        <w:gridCol w:w="3544"/>
        <w:gridCol w:w="2410"/>
      </w:tblGrid>
      <w:tr w:rsidR="00841E6B" w:rsidRPr="00001E6F">
        <w:trPr>
          <w:trHeight w:val="170"/>
        </w:trPr>
        <w:tc>
          <w:tcPr>
            <w:tcW w:w="2376" w:type="dxa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/>
              <w:bottom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sz w:val="14"/>
                <w:szCs w:val="14"/>
              </w:rPr>
              <w:t>NIF, acrónimo e/ou nome da entidade beneficiária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Nº da Candidatura (Código Universal):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XXXXXX(PO) – 99(Eixo) – 99999(PI/TI) -FUNDO (FEDER, FC, FSE, FEADER, FEAMP) – 999999 (nº sequencial dentro do PO  e da TI)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Número da TO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Concurso (Aviso):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color w:val="000000"/>
                <w:sz w:val="14"/>
                <w:szCs w:val="14"/>
                <w:lang w:eastAsia="pt-PT"/>
              </w:rPr>
              <w:t>XXXXXX (PO) - 99(TI) - 9999(ANO) - 99(sequência no PO/Ano</w:t>
            </w:r>
            <w:r w:rsidRPr="00001E6F">
              <w:rPr>
                <w:sz w:val="14"/>
                <w:szCs w:val="14"/>
              </w:rPr>
              <w:t>)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  <w:highlight w:val="yellow"/>
              </w:rPr>
            </w:pPr>
            <w:r w:rsidRPr="00001E6F">
              <w:rPr>
                <w:b/>
                <w:bCs/>
                <w:sz w:val="14"/>
                <w:szCs w:val="14"/>
                <w:highlight w:val="yellow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sz w:val="14"/>
                <w:szCs w:val="14"/>
                <w:highlight w:val="yellow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  <w:tc>
          <w:tcPr>
            <w:tcW w:w="3544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jc w:val="right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  <w:tr w:rsidR="00841E6B" w:rsidRPr="00001E6F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b/>
                <w:bCs/>
                <w:sz w:val="14"/>
                <w:szCs w:val="14"/>
              </w:rPr>
            </w:pPr>
            <w:r w:rsidRPr="00001E6F">
              <w:rPr>
                <w:b/>
                <w:bCs/>
                <w:sz w:val="14"/>
                <w:szCs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/>
            </w:tcBorders>
            <w:vAlign w:val="center"/>
          </w:tcPr>
          <w:p w:rsidR="00841E6B" w:rsidRPr="00001E6F" w:rsidRDefault="00841E6B" w:rsidP="00001E6F">
            <w:pPr>
              <w:spacing w:after="0" w:line="240" w:lineRule="auto"/>
              <w:rPr>
                <w:color w:val="000000"/>
                <w:sz w:val="14"/>
                <w:szCs w:val="14"/>
                <w:highlight w:val="yellow"/>
                <w:lang w:eastAsia="pt-PT"/>
              </w:rPr>
            </w:pPr>
            <w:r w:rsidRPr="00001E6F">
              <w:rPr>
                <w:sz w:val="14"/>
                <w:szCs w:val="14"/>
              </w:rPr>
              <w:t>dd-mm-aaaa</w:t>
            </w:r>
          </w:p>
        </w:tc>
      </w:tr>
    </w:tbl>
    <w:p w:rsidR="00841E6B" w:rsidRPr="006B4073" w:rsidRDefault="00841E6B" w:rsidP="00526233">
      <w:pPr>
        <w:spacing w:after="0" w:line="240" w:lineRule="auto"/>
        <w:jc w:val="both"/>
        <w:rPr>
          <w:sz w:val="8"/>
          <w:szCs w:val="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C8082B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Igualdade de Género</w:t>
            </w:r>
          </w:p>
        </w:tc>
      </w:tr>
    </w:tbl>
    <w:p w:rsidR="00841E6B" w:rsidRDefault="00841E6B" w:rsidP="00521060">
      <w:pPr>
        <w:spacing w:after="0"/>
        <w:rPr>
          <w:i/>
          <w:iCs/>
          <w:sz w:val="8"/>
          <w:szCs w:val="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6B4073">
        <w:rPr>
          <w:i/>
          <w:iCs/>
          <w:sz w:val="18"/>
          <w:szCs w:val="18"/>
        </w:rPr>
        <w:t xml:space="preserve">Compromissos internacionais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Pacto Europeu para a Igualdade entre Homens e Mulheres (2011-2020), aprovado a 7 de março de 2011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para a Igualdade entre Mulheres e Homens (2010-2015), adotada a 21 de dezembro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Estratégia da União Europeia para o Emprego e o Crescimento-Europa 2020, adotada a 17 de junho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das Mulheres, adotada a 5 de março de 2010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Tratado de Lisboa, de 13 de dezembro de 2007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Fundamentais, adotada em Nice em dezembro de 2000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Bases Gerais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V Plano Nacional para a Igualdade – Género, Cidadania e Não Discriminação 2014-2017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14/2014</w:t>
      </w:r>
    </w:p>
    <w:p w:rsidR="00841E6B" w:rsidRPr="00416B64" w:rsidRDefault="00841E6B" w:rsidP="00416B64">
      <w:pPr>
        <w:pStyle w:val="Bullet"/>
        <w:jc w:val="both"/>
        <w:rPr>
          <w:sz w:val="16"/>
          <w:szCs w:val="16"/>
        </w:rPr>
      </w:pPr>
      <w:r w:rsidRPr="00416B64">
        <w:rPr>
          <w:sz w:val="16"/>
          <w:szCs w:val="16"/>
        </w:rPr>
        <w:t>Código do Trabalho, aprovado pela Lei n.º 7/2009, de 12 de fevereiro</w:t>
      </w:r>
      <w:r>
        <w:rPr>
          <w:sz w:val="16"/>
          <w:szCs w:val="16"/>
        </w:rPr>
        <w:t>, na sua atual redação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Trabalho, emprego e empreendedorismo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133/2015, de 7 de setembro, que cria um mecanismo de proteção para trabalhadoras gravi</w:t>
      </w:r>
      <w:r>
        <w:rPr>
          <w:sz w:val="16"/>
          <w:szCs w:val="16"/>
        </w:rPr>
        <w:t>das, puérperas e lactantes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</w:t>
      </w:r>
      <w:r>
        <w:rPr>
          <w:sz w:val="16"/>
          <w:szCs w:val="16"/>
        </w:rPr>
        <w:t>e Género no Mercado de Trabalho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46/2014, de 28 de julho – diploma que autoriza o Governo, no âmbito da transposição da Diretiva n.º 2013/36/UE do Parlamento Europeu e do Conselho, a proceder à alteração ao Regime Geral das Instituições de Crédito e Sociedades Financeiras, definindo, como um dos objetivos estabelecer que a política interna de seleção e avaliação dos membros dos órgãos de administração e fiscalização deve promover a diversidade de qualificações e competências necessárias para o exercício da função, fixando objetivos para a representação de homens e mulheres e concebendo uma política destinada a aumentar o número de pessoas do género sub-representado com vista a atingir os referidos objetivos.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Resolução do Conselho de Ministros n.º 18/2014, de 5 de março de 2014 – diploma que estabelece um conjunto de medidas a adotar para contrariar a tendência histórica de desigualdade salarial penalizadora para as mulheres, tendo em vista alcançar </w:t>
      </w:r>
      <w:r>
        <w:rPr>
          <w:sz w:val="16"/>
          <w:szCs w:val="16"/>
        </w:rPr>
        <w:t>uma efetiva igualdade de género.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Conciliação vida profissional com a vida privada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nº 116/2012, de 13 de julho – diploma que recomenda ao Governo que tome medidas de valorização da família que facilitem a conciliação entre a vida</w:t>
      </w:r>
      <w:r>
        <w:rPr>
          <w:sz w:val="16"/>
          <w:szCs w:val="16"/>
        </w:rPr>
        <w:t xml:space="preserve"> familiar e a vida profissional.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Despacho n.º 8683/2011, de 16 de junho – diploma que determina que os estabelecimentos de ensino pré-escolar e do 1.º ciclo do ensino básico se mantenham obrigatoriamente abertos, pelo menos até às 17h</w:t>
      </w:r>
      <w:r>
        <w:rPr>
          <w:sz w:val="16"/>
          <w:szCs w:val="16"/>
        </w:rPr>
        <w:t>30 e, no mínimo, por oito horas.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Decisão do Conselho da Europa, de 21 de outubro de 2010 – diploma que estabelece que as políticas de conciliação da vida profissional com a familiar, juntamente com o acesso a estruturas de acolhimento de crianças a preços acessíveis e a inovação na forma como o trabalho é organizado, devem visar aumentar as taxas de emprego, nomeadamente entre os jovens, os trabalhadores mais idosos e as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Despacho n.º 14460/2008, de 15 de maio – diploma que define as normas a observar no período de funcionamento dos respetivos estabelecimentos bem como na oferta das atividades de enriquecimento curricular e de animação e de apoio à família.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426/2006, de 2 de maio – diploma que visa criar o Programa de Alargamento da Rede de Equipamentos Sociais (PARES), que tem por finalidade apoiar o desenvolvimento e consolidar a rede de equipamentos sociais, que visa essencialmente estimular, através dos recursos financeiros provenientes dos jogos sociais, o investimento privado em equipamentos sociais, com o objetivo de aumentar a capacidade instalada em respostas nas áreas de infância e juventude, pessoas com deficiência e população idosa.</w:t>
      </w:r>
    </w:p>
    <w:p w:rsidR="00841E6B" w:rsidRDefault="00841E6B" w:rsidP="006B4073">
      <w:pP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6B4073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6"/>
          <w:szCs w:val="16"/>
        </w:rPr>
      </w:pPr>
      <w:r>
        <w:rPr>
          <w:i/>
          <w:iCs/>
          <w:sz w:val="18"/>
          <w:szCs w:val="18"/>
        </w:rPr>
        <w:t>Discriminação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84/2015, de 20 de março – diploma que cria e regulamenta a medida de Promoção de Igualdade de Género no Mercado de Trabalho.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11-A/2015, de 6 de março – diploma que mandata a Secretária de Estado dos Assuntos Parlamentares e da Igualdade, o Secretário de Estado do Desenvolvimento Regional, o Secretário de Estado Adjunto e da Economia e o Secretário de Estado de Emprego para, (i) no prazo de 90 dias a contar da data da publicação, desenvolverem diligências com vista à celebração, com as empresas cotadas em Bolsa, de um compromisso que promova um maior equilíbrio na representação de mulheres e de homens nos respetivos conselhos de administração, pressupondo, por parte das empresas, a vinculação a um objetivo de representação de 30% do sexo sub-representado, até ao final de 2018, bem como (ii) para promoverem a criação e o fornecimento, sem custos para as empresas, de um mecanismo de apoio para identificação e análise das diferenças salariais entre homens 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40/2014, de 9 de Julho - diploma que procede à segunda alteração a Lei n.º 27/2007, de 30 de julho (Lei da televisão e dos Serviços Audiovisuais a Pedido), integrando a promoção da igualdade de género como um dos temas dos programas televisivos de acesso livre.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46/2013, de 4 de abril – diploma que recomenda ao Governo a não discriminação laboral de mulheres.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45/2013, de 4 de abril – diploma que recomenda ao Governo o combate às discriminações salariais, diretas e indiretas.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41/2013, de 8 de março – diploma que recomenda ao governo um conjunto de medidas, em matéria de combate às práticas discriminatórias entre homens e mulheres no mundo do trabalho, nomeadamente a disponibilização, na página eletrónica da autoridade para as Condições do trabalho, de informação estatística atualizada e de qualidade, com desagregação futura dos dados em função do género.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13/2013, de 8 de março – diploma que aprova um conjunto de medidas que visam garantir e promover a igualdade de oportunidades e de resultados entre mulheres e homens no mercado de trabalho, designadamente na eliminação das diferenças salariais, da promoção da conciliação entre a vida profissional e a vida familiar e pessoal, do incentivo ao aprofundamento da responsabilidade social das empresas, da eliminação da segregação do mercado de trabalho e de outras discriminações.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19/2012, de 8 de março – diploma que sublinha a necessidade de promover uma efetiva pluralidade na representação de mulheres e de homens em lugares de decisão, tanto para o sector público como para o privado e incentiva a adoção de práticas de bom governo, suscetíveis de contribuir para a sustentabilidade económica de Portugal.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7/2011, de 15 de março – diploma que cria o procedimento de mudança de sexo e de nome próprio no registo civil e procede à décima sétima alteração ao Código do Registo Civil.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3/2011, de 15 de fevereiro – diploma que proíbe qualquer discriminação no acesso e no exercício do trabalho independente e transpõe a Diretiva n.º 2000/43/CE, do Conselho, de 29 de Junho, a Diretiva n.º2000/78/CE, do Conselho, de 27 de novembro, e a Diretiva n.º 2006/54/CE, do Parlamento Europeu e do Conselho, de 5 de julho.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Carta dos Direitos Fundamentais da União Europeia, de 30 de dezembro de 2010 – diploma que, no artigo 21.º, proíbe de forma genérica a discriminação em razão de uma vasta série de motivações, incluindo em função da orientação sexual.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Convenção Europeia dos Direitos do Homem, de 4 de novembro 1950 – diploma que consagra os Direitos da Humanidade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da Assembleia da República n.º 39/2010, de 6 de maio – diploma que recomenda ao Governo a adoção de medidas que visem combater a atual discriminação dos homossexuais e bissexuais nos serviços de recolha de sangue.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14/2008, de 12 de março, diploma que proíbe e sanciona a discriminação em função do sexo no acesso a bens e serviços e seu fornecimento, transpondo para a ordem jurídica interna a Diretiva n.º 2004/113/CE, do Conselho, de 13 de dezembro.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59/2007, de 4 de setembro, e Decreto-Lei n.º 48/95, de 15 de março – diplomas que alteram o Decreto-Lei n.º 400/82, de 23 de Setembro, nomeadamente, a alínea c) do n.º 2 do artigo 240.º do Código Penal Português, criminalizando o incitamento à discriminação racial, religiosa e sexual com uma pena de prisão de 6 meses a 5 anos.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111/2007, de 24 de janeiro – diploma que cria o Programa Todos Diferentes, Todos Iguais (Programa TDTI).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18/2004, 11 de maio – diploma que transpõe para a ordem jurídica nacional a Diretiva n.º 2000/43/CE, do Conselho, de 29 de Junho, que aplica o princípio da igualdade de tratamento entre as pessoas, sem distinção de origem racial ou étnica, e tem por objetivo estabelecer um quadro jurídico para o combate à discriminação baseada em motivos de origem racial ou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9/2001, de 21 de maio – diploma que reforça os mecanismos de fiscalização e punição das práticas laborais discriminatórias em função do sexo.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134/1999, de 28 de agosto – diploma que proíbe as discriminações no exercício de direitos por motivos baseados na raça, cor, nacionalidade ou origem étnica.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Universal dos Direitos do H</w:t>
      </w:r>
      <w:r>
        <w:rPr>
          <w:sz w:val="16"/>
          <w:szCs w:val="16"/>
        </w:rPr>
        <w:t>omem, de 10 de Dezembro de 1948.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Mainstreaming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de nº 19/2012, de 8 de março – diploma que determina a obrigatoriedade de adoção de planos para a igualdade em todas as entidades do Setor Empresarial do Estado (SEE) e a presença plural de mulheres e homens nas nomeações ou designações para cargos de administração e de fiscalização; enquanto acionista de empresas privadas, deve propor aos restantes acionistas a adoção de políticas de promoção da igualdade de género; quanto às empresas do setor privado cotadas em bolsa, recomenda a adoção de planos de igualdade e de medidas, designadamente de autorregulação e de avaliação, que conduzam à participação equilibrada de mulheres e de homens nos cargos de administração e de fiscalização.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Parentalidade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Constituição da República Portuguesa (artigo 68.º) – diploma que reconhece a maternidade e a paternidade</w:t>
      </w:r>
      <w:r>
        <w:rPr>
          <w:sz w:val="16"/>
          <w:szCs w:val="16"/>
        </w:rPr>
        <w:t xml:space="preserve"> como valores sociais eminentes.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Declaração de Retificação n.º 40/2009, de 5 de junho – diploma que retifica o n.º 4 do artigo 38.º do Decreto-Lei n.º 89/2009, de 9 de abril,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91/2009, de 9 de abril</w:t>
      </w:r>
      <w:r>
        <w:rPr>
          <w:sz w:val="16"/>
          <w:szCs w:val="16"/>
        </w:rPr>
        <w:t xml:space="preserve">, alterado pelo </w:t>
      </w:r>
      <w:r w:rsidRPr="00FA6FCE">
        <w:rPr>
          <w:sz w:val="16"/>
          <w:szCs w:val="16"/>
        </w:rPr>
        <w:t xml:space="preserve">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 xml:space="preserve">70/2010, de 16 de </w:t>
      </w:r>
      <w:r>
        <w:rPr>
          <w:sz w:val="16"/>
          <w:szCs w:val="16"/>
        </w:rPr>
        <w:t>j</w:t>
      </w:r>
      <w:r w:rsidRPr="00FA6FCE">
        <w:rPr>
          <w:sz w:val="16"/>
          <w:szCs w:val="16"/>
        </w:rPr>
        <w:t>unho</w:t>
      </w:r>
      <w:r>
        <w:rPr>
          <w:sz w:val="16"/>
          <w:szCs w:val="16"/>
        </w:rPr>
        <w:t xml:space="preserve">,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 xml:space="preserve">n.º </w:t>
      </w:r>
      <w:r w:rsidRPr="00FA6FCE">
        <w:rPr>
          <w:sz w:val="16"/>
          <w:szCs w:val="16"/>
        </w:rPr>
        <w:t>133/2012, de 27 de junho</w:t>
      </w:r>
      <w:r>
        <w:rPr>
          <w:sz w:val="16"/>
          <w:szCs w:val="16"/>
        </w:rPr>
        <w:t xml:space="preserve"> e </w:t>
      </w:r>
      <w:r w:rsidRPr="00A116BC">
        <w:rPr>
          <w:sz w:val="16"/>
          <w:szCs w:val="16"/>
        </w:rPr>
        <w:t xml:space="preserve">pelo Decreto-lei </w:t>
      </w:r>
      <w:r>
        <w:rPr>
          <w:sz w:val="16"/>
          <w:szCs w:val="16"/>
        </w:rPr>
        <w:t>n.º</w:t>
      </w:r>
      <w:r w:rsidRPr="00FA6FCE">
        <w:rPr>
          <w:sz w:val="16"/>
          <w:szCs w:val="16"/>
        </w:rPr>
        <w:t xml:space="preserve"> </w:t>
      </w:r>
      <w:r>
        <w:rPr>
          <w:sz w:val="16"/>
          <w:szCs w:val="16"/>
        </w:rPr>
        <w:t>120/2015, de 1 de s</w:t>
      </w:r>
      <w:r w:rsidRPr="00FA6FCE">
        <w:rPr>
          <w:sz w:val="16"/>
          <w:szCs w:val="16"/>
        </w:rPr>
        <w:t>etembro</w:t>
      </w:r>
      <w:r w:rsidRPr="0012628C">
        <w:rPr>
          <w:sz w:val="16"/>
          <w:szCs w:val="16"/>
        </w:rPr>
        <w:t xml:space="preserve"> – diploma que estabelece o regime jurídico de proteção social na parentalidade no âmbito do sistema previdencial e no subsistema de solidariedade, e o quadro legal da proteção da parentalidade, em termos gerais.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89/2009, de 9 de abril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– diploma que regulamenta a proteção na parentalidade, no âmbito da eventualidade maternidade, paternidade e adoção, dos trabalhadores que exercem funções públicas integrados no regime</w:t>
      </w:r>
      <w:r>
        <w:rPr>
          <w:sz w:val="16"/>
          <w:szCs w:val="16"/>
        </w:rPr>
        <w:t xml:space="preserve"> de proteção social convergente.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61/2008, de 31 de outubro – diploma que altera os artigos 1906.º a 1912.º do Código Civil, os quais dispõem so</w:t>
      </w:r>
      <w:r>
        <w:rPr>
          <w:sz w:val="16"/>
          <w:szCs w:val="16"/>
        </w:rPr>
        <w:t>bre responsabilidades parentais.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Lei n.º 90/2001, de 20 de agosto – diploma que define medidas de apoio so</w:t>
      </w:r>
      <w:r>
        <w:rPr>
          <w:sz w:val="16"/>
          <w:szCs w:val="16"/>
        </w:rPr>
        <w:t>cial aos pais e mães estudantes.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055BEE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da Violência Doméstica</w:t>
            </w:r>
          </w:p>
        </w:tc>
      </w:tr>
    </w:tbl>
    <w:p w:rsidR="00841E6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 xml:space="preserve">Vigilância eletrónica 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Portaria n.º 63/2011, de 3 de fevereiro – diploma que estabelece a primeira alteração à Portaria n.º 220-A/2010, de 16 de abril, dando nova redação aos seus artigos 4.º e 7.º e revogando o </w:t>
      </w:r>
      <w:r>
        <w:rPr>
          <w:sz w:val="16"/>
          <w:szCs w:val="16"/>
        </w:rPr>
        <w:t>artigo 5.º.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 xml:space="preserve">Lei n.º 40/2010, de 3 de setembro – diploma que estabelece que a segunda alteração à Lei n.º 115/2009, de 12 de outubro, que aprova o Código da Execução das Penas e Medidas Privativas da Liberdade </w:t>
      </w:r>
      <w:r>
        <w:rPr>
          <w:sz w:val="16"/>
          <w:szCs w:val="16"/>
        </w:rPr>
        <w:t>e 26ª alteração ao Código Penal.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lastRenderedPageBreak/>
        <w:t>Lei n.º 33/2010, de 2 de setembro – diploma que regula a utilização de meios técnicos de controlo à distância (vigilância eletrónica) e revoga a Lei n.º 122/99, de 20 de agosto, que regula a vigilância eletrónica prevista no artigo 201.º do Código de Processo Penal, e o artigo 2.º da Lei</w:t>
      </w:r>
      <w:r>
        <w:rPr>
          <w:sz w:val="16"/>
          <w:szCs w:val="16"/>
        </w:rPr>
        <w:t xml:space="preserve"> n.º 115/2009, de 12 de outubro.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Portaria n.º 220-A/2010, de 16 de abril – diploma que estabelece as condições de utilização inicial dos meios técnicos de teleassistência, previstos nos n.</w:t>
      </w:r>
      <w:r>
        <w:rPr>
          <w:sz w:val="16"/>
          <w:szCs w:val="16"/>
        </w:rPr>
        <w:t>ºs</w:t>
      </w:r>
      <w:r w:rsidRPr="0012628C">
        <w:rPr>
          <w:sz w:val="16"/>
          <w:szCs w:val="16"/>
        </w:rPr>
        <w:t xml:space="preserve"> 4 e 5 do artigo 20.º, e dos meios técnicos de controlo à distância previstos no artigo 35.º, ambos da Lei n.º 112/2009, de 16 de setembro, que aprova o regime jurídico aplicável à prevenção da violência doméstica, à proteção e à assistência das suas vítimas.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</w:t>
      </w:r>
      <w:r>
        <w:rPr>
          <w:sz w:val="16"/>
          <w:szCs w:val="16"/>
        </w:rPr>
        <w:t xml:space="preserve"> </w:t>
      </w:r>
      <w:r w:rsidRPr="0012628C">
        <w:rPr>
          <w:sz w:val="16"/>
          <w:szCs w:val="16"/>
        </w:rPr>
        <w:t>17/2006, de 21 de julho – diploma que prorroga por mais um ano o mandato da estrutura de missão que tem vindo a desenvolver a estratégia de implementação da vigilância eletrónica.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Decreto-Lei n.º 121/2009, de 21 de maio – diploma que cria a Unidade de tecnologias, Informação e Segurança.</w:t>
      </w:r>
    </w:p>
    <w:p w:rsidR="00841E6B" w:rsidRPr="0012628C" w:rsidRDefault="00841E6B" w:rsidP="00D3761B">
      <w:pPr>
        <w:pStyle w:val="Bullet"/>
        <w:jc w:val="both"/>
        <w:rPr>
          <w:sz w:val="16"/>
          <w:szCs w:val="16"/>
        </w:rPr>
      </w:pPr>
      <w:r w:rsidRPr="0012628C">
        <w:rPr>
          <w:sz w:val="16"/>
          <w:szCs w:val="16"/>
        </w:rPr>
        <w:t>Resolução do Conselho de Ministros n.º 1/2001, de 6 de janeiro – diploma que cria, no âmbito do Ministério da Justiça, uma estrutura de missão com o objetivo de desenvolver as estratégias de implementação do sistema da monitorização eletrónica de arguidos sujeitos à medida de coação prevista no artigo 20</w:t>
      </w:r>
      <w:r>
        <w:rPr>
          <w:sz w:val="16"/>
          <w:szCs w:val="16"/>
        </w:rPr>
        <w:t>1.º do Código de Processo Penal.</w:t>
      </w:r>
    </w:p>
    <w:p w:rsidR="00841E6B" w:rsidRPr="00D3761B" w:rsidRDefault="00841E6B" w:rsidP="007E5168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D3761B">
        <w:rPr>
          <w:i/>
          <w:iCs/>
          <w:sz w:val="18"/>
          <w:szCs w:val="18"/>
        </w:rPr>
        <w:t>Violência doméstica – Técnicos de apoio à vítima</w:t>
      </w:r>
    </w:p>
    <w:p w:rsidR="00841E6B" w:rsidRDefault="00841E6B" w:rsidP="00D3761B">
      <w:pPr>
        <w:pStyle w:val="Bullet"/>
        <w:jc w:val="both"/>
        <w:rPr>
          <w:sz w:val="16"/>
          <w:szCs w:val="16"/>
        </w:rPr>
      </w:pPr>
      <w:r w:rsidRPr="00D3761B">
        <w:rPr>
          <w:sz w:val="16"/>
          <w:szCs w:val="16"/>
        </w:rPr>
        <w:t>Despacho n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 xml:space="preserve">º 6810-A/2010, de 15 de Abril, D.R. (II série) de 16 de Abril (suplemento): – </w:t>
      </w:r>
      <w:r>
        <w:rPr>
          <w:sz w:val="16"/>
          <w:szCs w:val="16"/>
        </w:rPr>
        <w:t>diploma que d</w:t>
      </w:r>
      <w:r w:rsidRPr="00D3761B">
        <w:rPr>
          <w:sz w:val="16"/>
          <w:szCs w:val="16"/>
        </w:rPr>
        <w:t>efine, no âmbito do artigo 83</w:t>
      </w:r>
      <w:r>
        <w:rPr>
          <w:sz w:val="16"/>
          <w:szCs w:val="16"/>
        </w:rPr>
        <w:t>.</w:t>
      </w:r>
      <w:r w:rsidRPr="00D3761B">
        <w:rPr>
          <w:sz w:val="16"/>
          <w:szCs w:val="16"/>
        </w:rPr>
        <w:t>º da Lei n</w:t>
      </w:r>
      <w:r>
        <w:rPr>
          <w:sz w:val="16"/>
          <w:szCs w:val="16"/>
        </w:rPr>
        <w:t>.º 112/2009, de 16 de s</w:t>
      </w:r>
      <w:r w:rsidRPr="00D3761B">
        <w:rPr>
          <w:sz w:val="16"/>
          <w:szCs w:val="16"/>
        </w:rPr>
        <w:t xml:space="preserve">etembro, os requisitos e qualificações necessários à habilitação </w:t>
      </w:r>
      <w:r>
        <w:rPr>
          <w:sz w:val="16"/>
          <w:szCs w:val="16"/>
        </w:rPr>
        <w:t>dos técnicos de apoio à vítima.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9747"/>
      </w:tblGrid>
      <w:tr w:rsidR="00841E6B" w:rsidRPr="00001E6F">
        <w:trPr>
          <w:trHeight w:val="283"/>
        </w:trPr>
        <w:tc>
          <w:tcPr>
            <w:tcW w:w="9747" w:type="dxa"/>
            <w:shd w:val="clear" w:color="auto" w:fill="17365D"/>
            <w:vAlign w:val="center"/>
          </w:tcPr>
          <w:p w:rsidR="00841E6B" w:rsidRPr="00001E6F" w:rsidRDefault="00841E6B" w:rsidP="009D6EB5">
            <w:pPr>
              <w:spacing w:after="0"/>
              <w:rPr>
                <w:i/>
                <w:iCs/>
                <w:sz w:val="20"/>
                <w:szCs w:val="20"/>
              </w:rPr>
            </w:pPr>
            <w:r w:rsidRPr="00001E6F">
              <w:rPr>
                <w:i/>
                <w:iCs/>
                <w:sz w:val="18"/>
                <w:szCs w:val="18"/>
              </w:rPr>
              <w:t>Legislação na área não discriminação em razão da deficiência</w:t>
            </w:r>
          </w:p>
        </w:tc>
      </w:tr>
    </w:tbl>
    <w:p w:rsidR="00841E6B" w:rsidRDefault="00841E6B" w:rsidP="007E5168">
      <w:pPr>
        <w:pStyle w:val="Bullet"/>
        <w:numPr>
          <w:ilvl w:val="0"/>
          <w:numId w:val="0"/>
        </w:numPr>
        <w:ind w:left="360" w:hanging="360"/>
        <w:jc w:val="both"/>
        <w:rPr>
          <w:sz w:val="16"/>
          <w:szCs w:val="16"/>
        </w:rPr>
      </w:pP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 xml:space="preserve">Bases gerais </w:t>
      </w:r>
    </w:p>
    <w:p w:rsidR="00841E6B" w:rsidRDefault="00841E6B" w:rsidP="009D6EB5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Lei nº 38/2004, de 18 de agosto </w:t>
      </w:r>
      <w:r w:rsidRPr="009D6EB5">
        <w:rPr>
          <w:sz w:val="16"/>
          <w:szCs w:val="16"/>
        </w:rPr>
        <w:t xml:space="preserve">– </w:t>
      </w:r>
      <w:r>
        <w:rPr>
          <w:sz w:val="16"/>
          <w:szCs w:val="16"/>
        </w:rPr>
        <w:t>diploma que d</w:t>
      </w:r>
      <w:r w:rsidRPr="009D6EB5">
        <w:rPr>
          <w:sz w:val="16"/>
          <w:szCs w:val="16"/>
        </w:rPr>
        <w:t>efine as bases gerais do regime jurídico da prevenção, habilitação, reabilitação e participação da pessoa com deficiência.</w:t>
      </w:r>
    </w:p>
    <w:p w:rsidR="00841E6B" w:rsidRPr="00A116BC" w:rsidRDefault="00841E6B" w:rsidP="00A116BC">
      <w:pPr>
        <w:pStyle w:val="Bullet"/>
        <w:rPr>
          <w:sz w:val="16"/>
          <w:szCs w:val="16"/>
        </w:rPr>
      </w:pPr>
      <w:r w:rsidRPr="00A116BC">
        <w:rPr>
          <w:sz w:val="16"/>
          <w:szCs w:val="16"/>
        </w:rPr>
        <w:t>Código do Trabalho, aprovado pela Lei n.º 7/2009, de 12 de fevereiro, na sua atual redação.</w:t>
      </w:r>
    </w:p>
    <w:p w:rsidR="00841E6B" w:rsidRPr="00386D84" w:rsidRDefault="00841E6B" w:rsidP="00386D84">
      <w:pPr>
        <w:pBdr>
          <w:bottom w:val="single" w:sz="4" w:space="1" w:color="17365D"/>
        </w:pBdr>
        <w:spacing w:after="0" w:line="240" w:lineRule="auto"/>
        <w:jc w:val="both"/>
        <w:rPr>
          <w:i/>
          <w:iCs/>
          <w:sz w:val="18"/>
          <w:szCs w:val="18"/>
        </w:rPr>
      </w:pPr>
      <w:r w:rsidRPr="00386D84">
        <w:rPr>
          <w:i/>
          <w:iCs/>
          <w:sz w:val="18"/>
          <w:szCs w:val="18"/>
        </w:rPr>
        <w:t>Igualdade no acesso ao emprego e à formação</w:t>
      </w:r>
    </w:p>
    <w:p w:rsidR="00841E6B" w:rsidRDefault="00CD6A49" w:rsidP="00386D84">
      <w:pPr>
        <w:pStyle w:val="Bullet"/>
        <w:jc w:val="both"/>
        <w:rPr>
          <w:sz w:val="16"/>
          <w:szCs w:val="16"/>
        </w:rPr>
      </w:pPr>
      <w:hyperlink r:id="rId7" w:tgtFrame="_blank" w:tooltip="Link para • Decreto-lei n.º 290/2009, de 12 de outubro" w:history="1">
        <w:r w:rsidR="00841E6B" w:rsidRPr="009D6EB5">
          <w:rPr>
            <w:sz w:val="16"/>
            <w:szCs w:val="16"/>
          </w:rPr>
          <w:t>Decreto-lei n.º 290/2009, de 12 de outubro</w:t>
        </w:r>
      </w:hyperlink>
      <w:r w:rsidR="00841E6B" w:rsidRPr="009D6EB5">
        <w:rPr>
          <w:sz w:val="16"/>
          <w:szCs w:val="16"/>
        </w:rPr>
        <w:t xml:space="preserve">, com as alterações introduzidas pela </w:t>
      </w:r>
      <w:hyperlink r:id="rId8" w:tgtFrame="_blank" w:tooltip="Link para lei n.º 24/2011, de 16 de junho" w:history="1">
        <w:r w:rsidR="00841E6B" w:rsidRPr="009D6EB5">
          <w:rPr>
            <w:sz w:val="16"/>
            <w:szCs w:val="16"/>
          </w:rPr>
          <w:t>lei n.º 24/2011, de 16 de junho</w:t>
        </w:r>
      </w:hyperlink>
      <w:r w:rsidR="00841E6B" w:rsidRPr="009D6EB5">
        <w:rPr>
          <w:sz w:val="16"/>
          <w:szCs w:val="16"/>
        </w:rPr>
        <w:t xml:space="preserve">, pelo Decreto-lei n.º 131/2013, de 11 de setembro e pelo </w:t>
      </w:r>
      <w:hyperlink r:id="rId9" w:history="1">
        <w:r w:rsidR="00841E6B" w:rsidRPr="009D6EB5">
          <w:rPr>
            <w:sz w:val="16"/>
            <w:szCs w:val="16"/>
          </w:rPr>
          <w:t>Decreto-lei n.º 108/2015, de 17 de junho</w:t>
        </w:r>
      </w:hyperlink>
      <w:r w:rsidR="00841E6B">
        <w:rPr>
          <w:sz w:val="16"/>
          <w:szCs w:val="16"/>
        </w:rPr>
        <w:t xml:space="preserve">, que o republica </w:t>
      </w:r>
      <w:r w:rsidR="00841E6B" w:rsidRPr="00386D84">
        <w:rPr>
          <w:sz w:val="16"/>
          <w:szCs w:val="16"/>
        </w:rPr>
        <w:t>–</w:t>
      </w:r>
      <w:r w:rsidR="00841E6B">
        <w:rPr>
          <w:sz w:val="16"/>
          <w:szCs w:val="16"/>
        </w:rPr>
        <w:t xml:space="preserve"> diploma que c</w:t>
      </w:r>
      <w:r w:rsidR="00841E6B" w:rsidRPr="009D6EB5">
        <w:rPr>
          <w:sz w:val="16"/>
          <w:szCs w:val="16"/>
        </w:rPr>
        <w:t xml:space="preserve">ria o Programa de </w:t>
      </w:r>
      <w:r w:rsidR="00841E6B">
        <w:rPr>
          <w:sz w:val="16"/>
          <w:szCs w:val="16"/>
        </w:rPr>
        <w:t>E</w:t>
      </w:r>
      <w:r w:rsidR="00841E6B" w:rsidRPr="009D6EB5">
        <w:rPr>
          <w:sz w:val="16"/>
          <w:szCs w:val="16"/>
        </w:rPr>
        <w:t xml:space="preserve">mprego e </w:t>
      </w:r>
      <w:r w:rsidR="00841E6B">
        <w:rPr>
          <w:sz w:val="16"/>
          <w:szCs w:val="16"/>
        </w:rPr>
        <w:t>A</w:t>
      </w:r>
      <w:r w:rsidR="00841E6B" w:rsidRPr="009D6EB5">
        <w:rPr>
          <w:sz w:val="16"/>
          <w:szCs w:val="16"/>
        </w:rPr>
        <w:t>poio à Qualificação das Pessoas com Deficiência e Incapacidade e define o regime de concessão de apoio técnico e financeiro para o desenvolvimento das políticas 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Default="00CD6A49" w:rsidP="00386D84">
      <w:pPr>
        <w:pStyle w:val="Bullet"/>
        <w:jc w:val="both"/>
        <w:rPr>
          <w:sz w:val="16"/>
          <w:szCs w:val="16"/>
        </w:rPr>
      </w:pPr>
      <w:hyperlink r:id="rId10" w:history="1">
        <w:r w:rsidR="00841E6B" w:rsidRPr="009D6EB5">
          <w:rPr>
            <w:sz w:val="16"/>
            <w:szCs w:val="16"/>
          </w:rPr>
          <w:t>Despacho n.º 8376-B/2015, de 30 de julho</w:t>
        </w:r>
      </w:hyperlink>
      <w:r w:rsidR="00841E6B">
        <w:rPr>
          <w:sz w:val="16"/>
          <w:szCs w:val="16"/>
        </w:rPr>
        <w:t>, que d</w:t>
      </w:r>
      <w:r w:rsidR="00841E6B" w:rsidRPr="009D6EB5">
        <w:rPr>
          <w:sz w:val="16"/>
          <w:szCs w:val="16"/>
        </w:rPr>
        <w:t>efine os aspetos técnicos necessários à execução do Programa</w:t>
      </w:r>
      <w:r w:rsidR="00841E6B">
        <w:rPr>
          <w:sz w:val="16"/>
          <w:szCs w:val="16"/>
        </w:rPr>
        <w:t xml:space="preserve"> </w:t>
      </w:r>
      <w:r w:rsidR="00841E6B" w:rsidRPr="009D6EB5">
        <w:rPr>
          <w:sz w:val="16"/>
          <w:szCs w:val="16"/>
        </w:rPr>
        <w:t>de emprego e apoio à qualificação das pessoas com deficiência e incapacidade</w:t>
      </w:r>
      <w:r w:rsidR="00841E6B">
        <w:rPr>
          <w:sz w:val="16"/>
          <w:szCs w:val="16"/>
        </w:rPr>
        <w:t>.</w:t>
      </w:r>
    </w:p>
    <w:p w:rsidR="00841E6B" w:rsidRPr="009D6EB5" w:rsidRDefault="00841E6B" w:rsidP="00386D84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sectPr w:rsidR="00841E6B" w:rsidRPr="009D6EB5" w:rsidSect="009E03B0">
      <w:headerReference w:type="default" r:id="rId11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E6B" w:rsidRDefault="00841E6B" w:rsidP="004F0B62">
      <w:pPr>
        <w:spacing w:after="0" w:line="240" w:lineRule="auto"/>
      </w:pPr>
      <w:r>
        <w:separator/>
      </w:r>
    </w:p>
  </w:endnote>
  <w:end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E6B" w:rsidRDefault="00841E6B" w:rsidP="004F0B62">
      <w:pPr>
        <w:spacing w:after="0" w:line="240" w:lineRule="auto"/>
      </w:pPr>
      <w:r>
        <w:separator/>
      </w:r>
    </w:p>
  </w:footnote>
  <w:footnote w:type="continuationSeparator" w:id="0">
    <w:p w:rsidR="00841E6B" w:rsidRDefault="00841E6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9648"/>
    </w:tblGrid>
    <w:tr w:rsidR="00841E6B" w:rsidRPr="00001E6F" w:rsidTr="00767F78">
      <w:trPr>
        <w:trHeight w:val="851"/>
      </w:trPr>
      <w:tc>
        <w:tcPr>
          <w:tcW w:w="9648" w:type="dxa"/>
          <w:vAlign w:val="center"/>
        </w:tcPr>
        <w:p w:rsidR="00841E6B" w:rsidRPr="00001E6F" w:rsidRDefault="00841E6B" w:rsidP="00767F78">
          <w:pPr>
            <w:spacing w:after="0" w:line="240" w:lineRule="auto"/>
            <w:ind w:right="72"/>
            <w:jc w:val="center"/>
            <w:rPr>
              <w:sz w:val="20"/>
              <w:szCs w:val="20"/>
            </w:rPr>
          </w:pPr>
          <w:r>
            <w:object w:dxaOrig="2587" w:dyaOrig="101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03.5pt;height:32.25pt">
                <v:imagedata r:id="rId1" o:title=""/>
              </v:shape>
              <o:OLEObject Type="Embed" ProgID="Visio.Drawing.11" ShapeID="_x0000_i1025" DrawAspect="Content" ObjectID="_1605965180" r:id="rId2"/>
            </w:object>
          </w:r>
          <w:r>
            <w:tab/>
          </w:r>
          <w:r>
            <w:tab/>
          </w:r>
          <w:r w:rsidR="00CD6A49">
            <w:rPr>
              <w:noProof/>
              <w:lang w:eastAsia="pt-PT"/>
            </w:rPr>
            <w:drawing>
              <wp:inline distT="0" distB="0" distL="0" distR="0">
                <wp:extent cx="971550" cy="4762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</w:t>
          </w:r>
          <w:r>
            <w:tab/>
          </w:r>
          <w:r w:rsidR="00CD6A49">
            <w:rPr>
              <w:noProof/>
              <w:lang w:eastAsia="pt-PT"/>
            </w:rPr>
            <w:drawing>
              <wp:inline distT="0" distB="0" distL="0" distR="0">
                <wp:extent cx="1247775" cy="4762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777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41E6B" w:rsidRDefault="00841E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="Times New Roman" w:hAnsi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>
      <w:start w:val="1"/>
      <w:numFmt w:val="lowerLetter"/>
      <w:lvlText w:val="%2."/>
      <w:lvlJc w:val="left"/>
      <w:pPr>
        <w:ind w:left="1800" w:hanging="360"/>
      </w:pPr>
    </w:lvl>
    <w:lvl w:ilvl="2" w:tplc="0816001B">
      <w:start w:val="1"/>
      <w:numFmt w:val="lowerRoman"/>
      <w:lvlText w:val="%3."/>
      <w:lvlJc w:val="right"/>
      <w:pPr>
        <w:ind w:left="2520" w:hanging="180"/>
      </w:pPr>
    </w:lvl>
    <w:lvl w:ilvl="3" w:tplc="0816000F">
      <w:start w:val="1"/>
      <w:numFmt w:val="decimal"/>
      <w:lvlText w:val="%4."/>
      <w:lvlJc w:val="left"/>
      <w:pPr>
        <w:ind w:left="3240" w:hanging="360"/>
      </w:pPr>
    </w:lvl>
    <w:lvl w:ilvl="4" w:tplc="08160019">
      <w:start w:val="1"/>
      <w:numFmt w:val="lowerLetter"/>
      <w:lvlText w:val="%5."/>
      <w:lvlJc w:val="left"/>
      <w:pPr>
        <w:ind w:left="3960" w:hanging="360"/>
      </w:pPr>
    </w:lvl>
    <w:lvl w:ilvl="5" w:tplc="0816001B">
      <w:start w:val="1"/>
      <w:numFmt w:val="lowerRoman"/>
      <w:lvlText w:val="%6."/>
      <w:lvlJc w:val="right"/>
      <w:pPr>
        <w:ind w:left="4680" w:hanging="180"/>
      </w:pPr>
    </w:lvl>
    <w:lvl w:ilvl="6" w:tplc="0816000F">
      <w:start w:val="1"/>
      <w:numFmt w:val="decimal"/>
      <w:lvlText w:val="%7."/>
      <w:lvlJc w:val="left"/>
      <w:pPr>
        <w:ind w:left="5400" w:hanging="360"/>
      </w:pPr>
    </w:lvl>
    <w:lvl w:ilvl="7" w:tplc="08160019">
      <w:start w:val="1"/>
      <w:numFmt w:val="lowerLetter"/>
      <w:lvlText w:val="%8."/>
      <w:lvlJc w:val="left"/>
      <w:pPr>
        <w:ind w:left="6120" w:hanging="360"/>
      </w:pPr>
    </w:lvl>
    <w:lvl w:ilvl="8" w:tplc="081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534" w:hanging="360"/>
      </w:pPr>
    </w:lvl>
    <w:lvl w:ilvl="2" w:tplc="0816001B">
      <w:start w:val="1"/>
      <w:numFmt w:val="lowerRoman"/>
      <w:lvlText w:val="%3."/>
      <w:lvlJc w:val="right"/>
      <w:pPr>
        <w:ind w:left="2254" w:hanging="180"/>
      </w:pPr>
    </w:lvl>
    <w:lvl w:ilvl="3" w:tplc="0816000F">
      <w:start w:val="1"/>
      <w:numFmt w:val="decimal"/>
      <w:lvlText w:val="%4."/>
      <w:lvlJc w:val="left"/>
      <w:pPr>
        <w:ind w:left="2974" w:hanging="360"/>
      </w:pPr>
    </w:lvl>
    <w:lvl w:ilvl="4" w:tplc="08160019">
      <w:start w:val="1"/>
      <w:numFmt w:val="lowerLetter"/>
      <w:lvlText w:val="%5."/>
      <w:lvlJc w:val="left"/>
      <w:pPr>
        <w:ind w:left="3694" w:hanging="360"/>
      </w:pPr>
    </w:lvl>
    <w:lvl w:ilvl="5" w:tplc="0816001B">
      <w:start w:val="1"/>
      <w:numFmt w:val="lowerRoman"/>
      <w:lvlText w:val="%6."/>
      <w:lvlJc w:val="right"/>
      <w:pPr>
        <w:ind w:left="4414" w:hanging="180"/>
      </w:pPr>
    </w:lvl>
    <w:lvl w:ilvl="6" w:tplc="0816000F">
      <w:start w:val="1"/>
      <w:numFmt w:val="decimal"/>
      <w:lvlText w:val="%7."/>
      <w:lvlJc w:val="left"/>
      <w:pPr>
        <w:ind w:left="5134" w:hanging="360"/>
      </w:pPr>
    </w:lvl>
    <w:lvl w:ilvl="7" w:tplc="08160019">
      <w:start w:val="1"/>
      <w:numFmt w:val="lowerLetter"/>
      <w:lvlText w:val="%8."/>
      <w:lvlJc w:val="left"/>
      <w:pPr>
        <w:ind w:left="5854" w:hanging="360"/>
      </w:pPr>
    </w:lvl>
    <w:lvl w:ilvl="8" w:tplc="0816001B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>
      <w:start w:val="1"/>
      <w:numFmt w:val="lowerRoman"/>
      <w:lvlText w:val="%3."/>
      <w:lvlJc w:val="right"/>
      <w:pPr>
        <w:ind w:left="1800" w:hanging="180"/>
      </w:pPr>
    </w:lvl>
    <w:lvl w:ilvl="3" w:tplc="0816000F">
      <w:start w:val="1"/>
      <w:numFmt w:val="decimal"/>
      <w:lvlText w:val="%4."/>
      <w:lvlJc w:val="left"/>
      <w:pPr>
        <w:ind w:left="2520" w:hanging="360"/>
      </w:pPr>
    </w:lvl>
    <w:lvl w:ilvl="4" w:tplc="08160019">
      <w:start w:val="1"/>
      <w:numFmt w:val="lowerLetter"/>
      <w:lvlText w:val="%5."/>
      <w:lvlJc w:val="left"/>
      <w:pPr>
        <w:ind w:left="3240" w:hanging="360"/>
      </w:pPr>
    </w:lvl>
    <w:lvl w:ilvl="5" w:tplc="0816001B">
      <w:start w:val="1"/>
      <w:numFmt w:val="lowerRoman"/>
      <w:lvlText w:val="%6."/>
      <w:lvlJc w:val="right"/>
      <w:pPr>
        <w:ind w:left="3960" w:hanging="180"/>
      </w:pPr>
    </w:lvl>
    <w:lvl w:ilvl="6" w:tplc="0816000F">
      <w:start w:val="1"/>
      <w:numFmt w:val="decimal"/>
      <w:lvlText w:val="%7."/>
      <w:lvlJc w:val="left"/>
      <w:pPr>
        <w:ind w:left="4680" w:hanging="360"/>
      </w:pPr>
    </w:lvl>
    <w:lvl w:ilvl="7" w:tplc="08160019">
      <w:start w:val="1"/>
      <w:numFmt w:val="lowerLetter"/>
      <w:lvlText w:val="%8."/>
      <w:lvlJc w:val="left"/>
      <w:pPr>
        <w:ind w:left="5400" w:hanging="360"/>
      </w:pPr>
    </w:lvl>
    <w:lvl w:ilvl="8" w:tplc="0816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2E"/>
    <w:rsid w:val="00001E6F"/>
    <w:rsid w:val="00055BEE"/>
    <w:rsid w:val="00060E8A"/>
    <w:rsid w:val="000630F0"/>
    <w:rsid w:val="0007537E"/>
    <w:rsid w:val="0007582B"/>
    <w:rsid w:val="00080C09"/>
    <w:rsid w:val="00082695"/>
    <w:rsid w:val="000826CE"/>
    <w:rsid w:val="000A2C07"/>
    <w:rsid w:val="000B5640"/>
    <w:rsid w:val="000D11D4"/>
    <w:rsid w:val="000E4D00"/>
    <w:rsid w:val="000F538E"/>
    <w:rsid w:val="00101516"/>
    <w:rsid w:val="0012435B"/>
    <w:rsid w:val="001251B5"/>
    <w:rsid w:val="0012628C"/>
    <w:rsid w:val="00127915"/>
    <w:rsid w:val="00182715"/>
    <w:rsid w:val="001B7F27"/>
    <w:rsid w:val="001E1978"/>
    <w:rsid w:val="001F34EE"/>
    <w:rsid w:val="001F4726"/>
    <w:rsid w:val="0020706B"/>
    <w:rsid w:val="00217F3D"/>
    <w:rsid w:val="002220DB"/>
    <w:rsid w:val="00270409"/>
    <w:rsid w:val="00271EDB"/>
    <w:rsid w:val="00273F5B"/>
    <w:rsid w:val="00296936"/>
    <w:rsid w:val="002B04A1"/>
    <w:rsid w:val="002D0D73"/>
    <w:rsid w:val="002D20DF"/>
    <w:rsid w:val="002E1F77"/>
    <w:rsid w:val="002E7DFB"/>
    <w:rsid w:val="002F577A"/>
    <w:rsid w:val="003018E1"/>
    <w:rsid w:val="003106A8"/>
    <w:rsid w:val="003117BB"/>
    <w:rsid w:val="0031287A"/>
    <w:rsid w:val="00316B3E"/>
    <w:rsid w:val="003858B7"/>
    <w:rsid w:val="00385BA9"/>
    <w:rsid w:val="00386D84"/>
    <w:rsid w:val="003A78D4"/>
    <w:rsid w:val="003C188E"/>
    <w:rsid w:val="003C2486"/>
    <w:rsid w:val="003C70DD"/>
    <w:rsid w:val="003D29C5"/>
    <w:rsid w:val="003D3E90"/>
    <w:rsid w:val="003F6A08"/>
    <w:rsid w:val="00416B64"/>
    <w:rsid w:val="004313B4"/>
    <w:rsid w:val="00456F10"/>
    <w:rsid w:val="0046310E"/>
    <w:rsid w:val="00472D2F"/>
    <w:rsid w:val="00483026"/>
    <w:rsid w:val="004A369A"/>
    <w:rsid w:val="004B1118"/>
    <w:rsid w:val="004B383A"/>
    <w:rsid w:val="004D57E8"/>
    <w:rsid w:val="004F0B62"/>
    <w:rsid w:val="004F1721"/>
    <w:rsid w:val="00502EA7"/>
    <w:rsid w:val="00507D99"/>
    <w:rsid w:val="00512B28"/>
    <w:rsid w:val="00513AC2"/>
    <w:rsid w:val="00513C98"/>
    <w:rsid w:val="00521060"/>
    <w:rsid w:val="005214C1"/>
    <w:rsid w:val="00526233"/>
    <w:rsid w:val="00540E1A"/>
    <w:rsid w:val="00577589"/>
    <w:rsid w:val="005A1926"/>
    <w:rsid w:val="005A5304"/>
    <w:rsid w:val="005E4840"/>
    <w:rsid w:val="005F7FA0"/>
    <w:rsid w:val="00600B93"/>
    <w:rsid w:val="0060685E"/>
    <w:rsid w:val="006208BB"/>
    <w:rsid w:val="006236D7"/>
    <w:rsid w:val="00623FAA"/>
    <w:rsid w:val="00625E4B"/>
    <w:rsid w:val="006273DF"/>
    <w:rsid w:val="00627C43"/>
    <w:rsid w:val="00657FE7"/>
    <w:rsid w:val="00671D21"/>
    <w:rsid w:val="00687738"/>
    <w:rsid w:val="00687BC1"/>
    <w:rsid w:val="00687BD1"/>
    <w:rsid w:val="00691A2F"/>
    <w:rsid w:val="006A42A3"/>
    <w:rsid w:val="006A59A6"/>
    <w:rsid w:val="006B4073"/>
    <w:rsid w:val="00705195"/>
    <w:rsid w:val="00753904"/>
    <w:rsid w:val="007572C3"/>
    <w:rsid w:val="00763295"/>
    <w:rsid w:val="00767F78"/>
    <w:rsid w:val="00784B57"/>
    <w:rsid w:val="00792D61"/>
    <w:rsid w:val="007A312F"/>
    <w:rsid w:val="007A7CD2"/>
    <w:rsid w:val="007C22BF"/>
    <w:rsid w:val="007C3B65"/>
    <w:rsid w:val="007E450D"/>
    <w:rsid w:val="007E5168"/>
    <w:rsid w:val="008003BC"/>
    <w:rsid w:val="00816F12"/>
    <w:rsid w:val="00820591"/>
    <w:rsid w:val="00821812"/>
    <w:rsid w:val="00834439"/>
    <w:rsid w:val="00841E6B"/>
    <w:rsid w:val="008434D9"/>
    <w:rsid w:val="00860B6C"/>
    <w:rsid w:val="008651E6"/>
    <w:rsid w:val="008711B9"/>
    <w:rsid w:val="008722E8"/>
    <w:rsid w:val="008B2205"/>
    <w:rsid w:val="008D1D4B"/>
    <w:rsid w:val="008F1C76"/>
    <w:rsid w:val="0090467E"/>
    <w:rsid w:val="009047CA"/>
    <w:rsid w:val="00906014"/>
    <w:rsid w:val="0092157E"/>
    <w:rsid w:val="009310BF"/>
    <w:rsid w:val="00971BB4"/>
    <w:rsid w:val="009726E1"/>
    <w:rsid w:val="0097618F"/>
    <w:rsid w:val="00976A9B"/>
    <w:rsid w:val="009B0073"/>
    <w:rsid w:val="009C6407"/>
    <w:rsid w:val="009C6484"/>
    <w:rsid w:val="009D6EB5"/>
    <w:rsid w:val="009E03B0"/>
    <w:rsid w:val="00A116BC"/>
    <w:rsid w:val="00A33B77"/>
    <w:rsid w:val="00A378B3"/>
    <w:rsid w:val="00A42772"/>
    <w:rsid w:val="00A74B32"/>
    <w:rsid w:val="00A87F3D"/>
    <w:rsid w:val="00A92F69"/>
    <w:rsid w:val="00A9704C"/>
    <w:rsid w:val="00AA1905"/>
    <w:rsid w:val="00AB4E4B"/>
    <w:rsid w:val="00AC252A"/>
    <w:rsid w:val="00AD0482"/>
    <w:rsid w:val="00AD1ECF"/>
    <w:rsid w:val="00AD642E"/>
    <w:rsid w:val="00AD670B"/>
    <w:rsid w:val="00AF5C91"/>
    <w:rsid w:val="00B30AC1"/>
    <w:rsid w:val="00B52496"/>
    <w:rsid w:val="00B7703E"/>
    <w:rsid w:val="00B908D2"/>
    <w:rsid w:val="00C01BDB"/>
    <w:rsid w:val="00C12030"/>
    <w:rsid w:val="00C43B9C"/>
    <w:rsid w:val="00C71A7C"/>
    <w:rsid w:val="00C743FB"/>
    <w:rsid w:val="00C8082B"/>
    <w:rsid w:val="00CA2E48"/>
    <w:rsid w:val="00CB105B"/>
    <w:rsid w:val="00CB2B33"/>
    <w:rsid w:val="00CB37B1"/>
    <w:rsid w:val="00CD0197"/>
    <w:rsid w:val="00CD2484"/>
    <w:rsid w:val="00CD6A49"/>
    <w:rsid w:val="00D3761B"/>
    <w:rsid w:val="00D724F7"/>
    <w:rsid w:val="00D95703"/>
    <w:rsid w:val="00DA4D2C"/>
    <w:rsid w:val="00DB4A3D"/>
    <w:rsid w:val="00DB4B83"/>
    <w:rsid w:val="00DC1ECC"/>
    <w:rsid w:val="00DE52A8"/>
    <w:rsid w:val="00E11522"/>
    <w:rsid w:val="00E45026"/>
    <w:rsid w:val="00E82780"/>
    <w:rsid w:val="00E94D55"/>
    <w:rsid w:val="00E96D28"/>
    <w:rsid w:val="00EB29F1"/>
    <w:rsid w:val="00EB7B53"/>
    <w:rsid w:val="00ED65C0"/>
    <w:rsid w:val="00EE17CE"/>
    <w:rsid w:val="00F02E79"/>
    <w:rsid w:val="00F21CEF"/>
    <w:rsid w:val="00F24F74"/>
    <w:rsid w:val="00F33955"/>
    <w:rsid w:val="00F3591D"/>
    <w:rsid w:val="00F401C6"/>
    <w:rsid w:val="00F64DA1"/>
    <w:rsid w:val="00F65C95"/>
    <w:rsid w:val="00F8302B"/>
    <w:rsid w:val="00F83B1F"/>
    <w:rsid w:val="00FA6FCE"/>
    <w:rsid w:val="00FB2749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79E834DC-4758-4732-B753-E28B42291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496"/>
    <w:pPr>
      <w:spacing w:after="200" w:line="276" w:lineRule="auto"/>
    </w:pPr>
    <w:rPr>
      <w:rFonts w:cs="Calibri"/>
      <w:lang w:eastAsia="en-US"/>
    </w:rPr>
  </w:style>
  <w:style w:type="paragraph" w:styleId="Cabealho1">
    <w:name w:val="heading 1"/>
    <w:basedOn w:val="Normal"/>
    <w:next w:val="Normal"/>
    <w:link w:val="Cabealho1Carter"/>
    <w:uiPriority w:val="99"/>
    <w:qFormat/>
    <w:rsid w:val="00B52496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ter"/>
    <w:uiPriority w:val="99"/>
    <w:qFormat/>
    <w:rsid w:val="00B52496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ter"/>
    <w:uiPriority w:val="99"/>
    <w:qFormat/>
    <w:rsid w:val="00B52496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Cabealho4">
    <w:name w:val="heading 4"/>
    <w:basedOn w:val="Normal"/>
    <w:next w:val="Normal"/>
    <w:link w:val="Cabealho4Carter"/>
    <w:uiPriority w:val="99"/>
    <w:qFormat/>
    <w:rsid w:val="00B52496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Cabealho5">
    <w:name w:val="heading 5"/>
    <w:basedOn w:val="Normal"/>
    <w:next w:val="Normal"/>
    <w:link w:val="Cabealho5Carter"/>
    <w:uiPriority w:val="99"/>
    <w:qFormat/>
    <w:rsid w:val="00B5249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Cabealho6">
    <w:name w:val="heading 6"/>
    <w:basedOn w:val="Normal"/>
    <w:next w:val="Normal"/>
    <w:link w:val="Cabealho6Carter"/>
    <w:uiPriority w:val="99"/>
    <w:qFormat/>
    <w:rsid w:val="00B52496"/>
    <w:pPr>
      <w:keepNext/>
      <w:keepLines/>
      <w:spacing w:before="200" w:after="0"/>
      <w:outlineLvl w:val="5"/>
    </w:pPr>
    <w:rPr>
      <w:rFonts w:ascii="Cambria" w:eastAsia="Times New Roman" w:hAnsi="Cambria" w:cs="Cambria"/>
      <w:i/>
      <w:iCs/>
      <w:color w:val="243F60"/>
    </w:rPr>
  </w:style>
  <w:style w:type="paragraph" w:styleId="Cabealho7">
    <w:name w:val="heading 7"/>
    <w:basedOn w:val="Normal"/>
    <w:next w:val="Normal"/>
    <w:link w:val="Cabealho7Carter"/>
    <w:uiPriority w:val="99"/>
    <w:qFormat/>
    <w:rsid w:val="00B52496"/>
    <w:pPr>
      <w:keepNext/>
      <w:keepLines/>
      <w:spacing w:before="200" w:after="0"/>
      <w:outlineLvl w:val="6"/>
    </w:pPr>
    <w:rPr>
      <w:rFonts w:ascii="Cambria" w:eastAsia="Times New Roman" w:hAnsi="Cambria" w:cs="Cambria"/>
      <w:i/>
      <w:iCs/>
      <w:color w:val="404040"/>
    </w:rPr>
  </w:style>
  <w:style w:type="paragraph" w:styleId="Cabealho8">
    <w:name w:val="heading 8"/>
    <w:basedOn w:val="Normal"/>
    <w:next w:val="Normal"/>
    <w:link w:val="Cabealho8Carter"/>
    <w:uiPriority w:val="99"/>
    <w:qFormat/>
    <w:rsid w:val="00B52496"/>
    <w:pPr>
      <w:keepNext/>
      <w:keepLines/>
      <w:spacing w:before="200" w:after="0"/>
      <w:outlineLvl w:val="7"/>
    </w:pPr>
    <w:rPr>
      <w:rFonts w:ascii="Cambria" w:eastAsia="Times New Roman" w:hAnsi="Cambria" w:cs="Cambria"/>
      <w:color w:val="4F81BD"/>
      <w:sz w:val="20"/>
      <w:szCs w:val="20"/>
    </w:rPr>
  </w:style>
  <w:style w:type="paragraph" w:styleId="Cabealho9">
    <w:name w:val="heading 9"/>
    <w:basedOn w:val="Normal"/>
    <w:next w:val="Normal"/>
    <w:link w:val="Cabealho9Carter"/>
    <w:uiPriority w:val="99"/>
    <w:qFormat/>
    <w:rsid w:val="00B52496"/>
    <w:pPr>
      <w:keepNext/>
      <w:keepLines/>
      <w:spacing w:before="200" w:after="0"/>
      <w:outlineLvl w:val="8"/>
    </w:pPr>
    <w:rPr>
      <w:rFonts w:ascii="Cambria" w:eastAsia="Times New Roman" w:hAnsi="Cambria" w:cs="Cambria"/>
      <w:i/>
      <w:iCs/>
      <w:color w:val="40404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ter">
    <w:name w:val="Cabeçalho 1 Caráter"/>
    <w:basedOn w:val="Tipodeletrapredefinidodopargrafo"/>
    <w:link w:val="Cabealho1"/>
    <w:uiPriority w:val="99"/>
    <w:locked/>
    <w:rsid w:val="00B52496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Cabealho2Carter">
    <w:name w:val="Cabeçalho 2 Caráter"/>
    <w:basedOn w:val="Tipodeletrapredefinidodopargrafo"/>
    <w:link w:val="Cabealho2"/>
    <w:uiPriority w:val="99"/>
    <w:locked/>
    <w:rsid w:val="00B52496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Cabealho3Carter">
    <w:name w:val="Cabeçalho 3 Caráter"/>
    <w:basedOn w:val="Tipodeletrapredefinidodopargrafo"/>
    <w:link w:val="Cabealho3"/>
    <w:uiPriority w:val="99"/>
    <w:locked/>
    <w:rsid w:val="00B52496"/>
    <w:rPr>
      <w:rFonts w:ascii="Cambria" w:hAnsi="Cambria" w:cs="Cambria"/>
      <w:b/>
      <w:bCs/>
      <w:color w:val="4F81BD"/>
    </w:rPr>
  </w:style>
  <w:style w:type="character" w:customStyle="1" w:styleId="Cabealho4Carter">
    <w:name w:val="Cabeçalho 4 Caráter"/>
    <w:basedOn w:val="Tipodeletrapredefinidodopargrafo"/>
    <w:link w:val="Cabealho4"/>
    <w:uiPriority w:val="99"/>
    <w:locked/>
    <w:rsid w:val="00B52496"/>
    <w:rPr>
      <w:rFonts w:ascii="Cambria" w:hAnsi="Cambria" w:cs="Cambria"/>
      <w:b/>
      <w:bCs/>
      <w:i/>
      <w:iCs/>
      <w:color w:val="4F81BD"/>
    </w:rPr>
  </w:style>
  <w:style w:type="character" w:customStyle="1" w:styleId="Cabealho5Carter">
    <w:name w:val="Cabeçalho 5 Caráter"/>
    <w:basedOn w:val="Tipodeletrapredefinidodopargrafo"/>
    <w:link w:val="Cabealho5"/>
    <w:uiPriority w:val="99"/>
    <w:semiHidden/>
    <w:locked/>
    <w:rsid w:val="00B52496"/>
    <w:rPr>
      <w:rFonts w:ascii="Cambria" w:hAnsi="Cambria" w:cs="Cambria"/>
      <w:color w:val="243F60"/>
    </w:rPr>
  </w:style>
  <w:style w:type="character" w:customStyle="1" w:styleId="Cabealho6Carter">
    <w:name w:val="Cabeçalho 6 Caráter"/>
    <w:basedOn w:val="Tipodeletrapredefinidodopargrafo"/>
    <w:link w:val="Cabealho6"/>
    <w:uiPriority w:val="99"/>
    <w:semiHidden/>
    <w:locked/>
    <w:rsid w:val="00B52496"/>
    <w:rPr>
      <w:rFonts w:ascii="Cambria" w:hAnsi="Cambria" w:cs="Cambria"/>
      <w:i/>
      <w:iCs/>
      <w:color w:val="243F60"/>
    </w:rPr>
  </w:style>
  <w:style w:type="character" w:customStyle="1" w:styleId="Cabealho7Carter">
    <w:name w:val="Cabeçalho 7 Caráter"/>
    <w:basedOn w:val="Tipodeletrapredefinidodopargrafo"/>
    <w:link w:val="Cabealho7"/>
    <w:uiPriority w:val="99"/>
    <w:semiHidden/>
    <w:locked/>
    <w:rsid w:val="00B52496"/>
    <w:rPr>
      <w:rFonts w:ascii="Cambria" w:hAnsi="Cambria" w:cs="Cambria"/>
      <w:i/>
      <w:iCs/>
      <w:color w:val="404040"/>
    </w:rPr>
  </w:style>
  <w:style w:type="character" w:customStyle="1" w:styleId="Cabealho8Carter">
    <w:name w:val="Cabeçalho 8 Caráter"/>
    <w:basedOn w:val="Tipodeletrapredefinidodopargrafo"/>
    <w:link w:val="Cabealho8"/>
    <w:uiPriority w:val="99"/>
    <w:semiHidden/>
    <w:locked/>
    <w:rsid w:val="00B52496"/>
    <w:rPr>
      <w:rFonts w:ascii="Cambria" w:hAnsi="Cambria" w:cs="Cambria"/>
      <w:color w:val="4F81BD"/>
      <w:sz w:val="20"/>
      <w:szCs w:val="20"/>
    </w:rPr>
  </w:style>
  <w:style w:type="character" w:customStyle="1" w:styleId="Cabealho9Carter">
    <w:name w:val="Cabeçalho 9 Caráter"/>
    <w:basedOn w:val="Tipodeletrapredefinidodopargrafo"/>
    <w:link w:val="Cabealho9"/>
    <w:uiPriority w:val="99"/>
    <w:semiHidden/>
    <w:locked/>
    <w:rsid w:val="00B52496"/>
    <w:rPr>
      <w:rFonts w:ascii="Cambria" w:hAnsi="Cambria" w:cs="Cambria"/>
      <w:i/>
      <w:iCs/>
      <w:color w:val="404040"/>
      <w:sz w:val="20"/>
      <w:szCs w:val="20"/>
    </w:rPr>
  </w:style>
  <w:style w:type="paragraph" w:customStyle="1" w:styleId="Bullet">
    <w:name w:val="Bullet"/>
    <w:basedOn w:val="PargrafodaLista"/>
    <w:link w:val="BulletCarcter"/>
    <w:uiPriority w:val="99"/>
    <w:rsid w:val="00B52496"/>
    <w:pPr>
      <w:numPr>
        <w:numId w:val="1"/>
      </w:numPr>
    </w:pPr>
  </w:style>
  <w:style w:type="character" w:customStyle="1" w:styleId="BulletCarcter">
    <w:name w:val="Bullet Carácter"/>
    <w:basedOn w:val="PargrafodaListaCarter"/>
    <w:link w:val="Bullet"/>
    <w:uiPriority w:val="99"/>
    <w:locked/>
    <w:rsid w:val="00B52496"/>
  </w:style>
  <w:style w:type="paragraph" w:styleId="PargrafodaLista">
    <w:name w:val="List Paragraph"/>
    <w:basedOn w:val="Normal"/>
    <w:link w:val="PargrafodaListaCarter"/>
    <w:uiPriority w:val="99"/>
    <w:qFormat/>
    <w:rsid w:val="00B52496"/>
    <w:pPr>
      <w:ind w:left="720"/>
    </w:pPr>
  </w:style>
  <w:style w:type="paragraph" w:customStyle="1" w:styleId="BulletSuublinhado">
    <w:name w:val="Bullet Suublinhado"/>
    <w:basedOn w:val="PargrafodaLista"/>
    <w:link w:val="BulletSuublinhadoCarcter"/>
    <w:uiPriority w:val="99"/>
    <w:rsid w:val="00B52496"/>
    <w:pPr>
      <w:spacing w:before="120" w:after="0" w:line="360" w:lineRule="auto"/>
      <w:ind w:hanging="360"/>
    </w:pPr>
    <w:rPr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uiPriority w:val="99"/>
    <w:locked/>
    <w:rsid w:val="00B52496"/>
    <w:rPr>
      <w:u w:val="single"/>
    </w:rPr>
  </w:style>
  <w:style w:type="paragraph" w:customStyle="1" w:styleId="Indentado">
    <w:name w:val="Indentado"/>
    <w:basedOn w:val="Normal"/>
    <w:link w:val="IndentadoCarcter"/>
    <w:uiPriority w:val="99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uiPriority w:val="99"/>
    <w:locked/>
    <w:rsid w:val="00B52496"/>
  </w:style>
  <w:style w:type="paragraph" w:customStyle="1" w:styleId="Fonte">
    <w:name w:val="Fonte"/>
    <w:basedOn w:val="Normal"/>
    <w:link w:val="FonteCarcter"/>
    <w:uiPriority w:val="99"/>
    <w:rsid w:val="00B52496"/>
    <w:pPr>
      <w:jc w:val="center"/>
    </w:pPr>
    <w:rPr>
      <w:sz w:val="18"/>
      <w:szCs w:val="18"/>
    </w:rPr>
  </w:style>
  <w:style w:type="character" w:customStyle="1" w:styleId="FonteCarcter">
    <w:name w:val="Fonte Carácter"/>
    <w:basedOn w:val="Tipodeletrapredefinidodopargrafo"/>
    <w:link w:val="Fonte"/>
    <w:uiPriority w:val="99"/>
    <w:locked/>
    <w:rsid w:val="00B52496"/>
    <w:rPr>
      <w:sz w:val="18"/>
      <w:szCs w:val="18"/>
    </w:rPr>
  </w:style>
  <w:style w:type="paragraph" w:customStyle="1" w:styleId="TtuloTabela">
    <w:name w:val="TítuloTabela"/>
    <w:basedOn w:val="Indentado"/>
    <w:link w:val="TtuloTabelaCarcter"/>
    <w:uiPriority w:val="99"/>
    <w:rsid w:val="00B52496"/>
    <w:pPr>
      <w:ind w:left="0"/>
      <w:jc w:val="center"/>
    </w:pPr>
    <w:rPr>
      <w:b/>
      <w:bCs/>
      <w:sz w:val="20"/>
      <w:szCs w:val="20"/>
    </w:rPr>
  </w:style>
  <w:style w:type="character" w:customStyle="1" w:styleId="TtuloTabelaCarcter">
    <w:name w:val="TítuloTabela Carácter"/>
    <w:basedOn w:val="IndentadoCarcter"/>
    <w:link w:val="TtuloTabela"/>
    <w:uiPriority w:val="99"/>
    <w:locked/>
    <w:rsid w:val="00B52496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99"/>
    <w:semiHidden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99"/>
    <w:semiHidden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99"/>
    <w:semiHidden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99"/>
    <w:qFormat/>
    <w:rsid w:val="00B52496"/>
    <w:pPr>
      <w:spacing w:line="240" w:lineRule="auto"/>
    </w:pPr>
    <w:rPr>
      <w:b/>
      <w:bCs/>
      <w:color w:val="4F81BD"/>
      <w:sz w:val="18"/>
      <w:szCs w:val="18"/>
    </w:rPr>
  </w:style>
  <w:style w:type="paragraph" w:styleId="Ttulo">
    <w:name w:val="Title"/>
    <w:basedOn w:val="Normal"/>
    <w:next w:val="Normal"/>
    <w:link w:val="TtuloCarter"/>
    <w:uiPriority w:val="99"/>
    <w:qFormat/>
    <w:rsid w:val="00B52496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99"/>
    <w:locked/>
    <w:rsid w:val="00B52496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99"/>
    <w:qFormat/>
    <w:rsid w:val="00B52496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99"/>
    <w:locked/>
    <w:rsid w:val="00B52496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Forte">
    <w:name w:val="Strong"/>
    <w:basedOn w:val="Tipodeletrapredefinidodopargrafo"/>
    <w:uiPriority w:val="99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99"/>
    <w:qFormat/>
    <w:rsid w:val="00B52496"/>
    <w:rPr>
      <w:i/>
      <w:iCs/>
    </w:rPr>
  </w:style>
  <w:style w:type="paragraph" w:styleId="SemEspaamento">
    <w:name w:val="No Spacing"/>
    <w:link w:val="SemEspaamentoCarter"/>
    <w:uiPriority w:val="99"/>
    <w:qFormat/>
    <w:rsid w:val="00B52496"/>
    <w:rPr>
      <w:rFonts w:cs="Calibri"/>
      <w:lang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99"/>
    <w:locked/>
    <w:rsid w:val="00B52496"/>
    <w:rPr>
      <w:sz w:val="22"/>
      <w:szCs w:val="22"/>
      <w:lang w:val="pt-PT" w:eastAsia="en-US"/>
    </w:rPr>
  </w:style>
  <w:style w:type="character" w:customStyle="1" w:styleId="PargrafodaListaCarter">
    <w:name w:val="Parágrafo da Lista Caráter"/>
    <w:basedOn w:val="Tipodeletrapredefinidodopargrafo"/>
    <w:link w:val="PargrafodaLista"/>
    <w:uiPriority w:val="99"/>
    <w:locked/>
    <w:rsid w:val="00B52496"/>
  </w:style>
  <w:style w:type="paragraph" w:styleId="Citao">
    <w:name w:val="Quote"/>
    <w:basedOn w:val="Normal"/>
    <w:next w:val="Normal"/>
    <w:link w:val="CitaoCarter"/>
    <w:uiPriority w:val="99"/>
    <w:qFormat/>
    <w:rsid w:val="00B52496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99"/>
    <w:locked/>
    <w:rsid w:val="00B52496"/>
    <w:rPr>
      <w:i/>
      <w:iCs/>
      <w:color w:val="000000"/>
    </w:rPr>
  </w:style>
  <w:style w:type="paragraph" w:styleId="CitaoIntensa">
    <w:name w:val="Intense Quote"/>
    <w:basedOn w:val="Normal"/>
    <w:next w:val="Normal"/>
    <w:link w:val="CitaoIntensaCarter"/>
    <w:uiPriority w:val="99"/>
    <w:qFormat/>
    <w:rsid w:val="00B5249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oIntensaCarter">
    <w:name w:val="Citação Intensa Caráter"/>
    <w:basedOn w:val="Tipodeletrapredefinidodopargrafo"/>
    <w:link w:val="CitaoIntensa"/>
    <w:uiPriority w:val="99"/>
    <w:locked/>
    <w:rsid w:val="00B52496"/>
    <w:rPr>
      <w:b/>
      <w:bCs/>
      <w:i/>
      <w:iCs/>
      <w:color w:val="4F81BD"/>
    </w:rPr>
  </w:style>
  <w:style w:type="character" w:styleId="nfaseDiscreto">
    <w:name w:val="Subtle Emphasis"/>
    <w:aliases w:val="Ênfase Discreto1"/>
    <w:basedOn w:val="Tipodeletrapredefinidodopargrafo"/>
    <w:uiPriority w:val="99"/>
    <w:qFormat/>
    <w:rsid w:val="00B52496"/>
    <w:rPr>
      <w:i/>
      <w:iCs/>
      <w:color w:val="808080"/>
    </w:rPr>
  </w:style>
  <w:style w:type="character" w:styleId="nfaseIntenso">
    <w:name w:val="Intense Emphasis"/>
    <w:basedOn w:val="Tipodeletrapredefinidodopargrafo"/>
    <w:uiPriority w:val="99"/>
    <w:qFormat/>
    <w:rsid w:val="00B52496"/>
    <w:rPr>
      <w:b/>
      <w:bCs/>
      <w:i/>
      <w:iCs/>
      <w:color w:val="4F81BD"/>
    </w:rPr>
  </w:style>
  <w:style w:type="character" w:styleId="RefernciaDiscreta">
    <w:name w:val="Subtle Reference"/>
    <w:basedOn w:val="Tipodeletrapredefinidodopargrafo"/>
    <w:uiPriority w:val="99"/>
    <w:qFormat/>
    <w:rsid w:val="00B52496"/>
    <w:rPr>
      <w:smallCaps/>
      <w:color w:val="auto"/>
      <w:u w:val="single"/>
    </w:rPr>
  </w:style>
  <w:style w:type="character" w:styleId="RefernciaIntensa">
    <w:name w:val="Intense Reference"/>
    <w:basedOn w:val="Tipodeletrapredefinidodopargrafo"/>
    <w:uiPriority w:val="99"/>
    <w:qFormat/>
    <w:rsid w:val="00B52496"/>
    <w:rPr>
      <w:b/>
      <w:bCs/>
      <w:smallCaps/>
      <w:color w:val="auto"/>
      <w:spacing w:val="5"/>
      <w:u w:val="single"/>
    </w:rPr>
  </w:style>
  <w:style w:type="character" w:styleId="TtulodoLivro">
    <w:name w:val="Book Title"/>
    <w:basedOn w:val="Tipodeletrapredefinidodopargrafo"/>
    <w:uiPriority w:val="99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Cabealho1"/>
    <w:next w:val="Normal"/>
    <w:uiPriority w:val="99"/>
    <w:qFormat/>
    <w:rsid w:val="00B52496"/>
    <w:pPr>
      <w:outlineLvl w:val="9"/>
    </w:pPr>
  </w:style>
  <w:style w:type="table" w:styleId="Tabelacomgrelha">
    <w:name w:val="Table Grid"/>
    <w:basedOn w:val="Tabelanormal"/>
    <w:uiPriority w:val="99"/>
    <w:rsid w:val="00AD642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4F0B62"/>
  </w:style>
  <w:style w:type="paragraph" w:styleId="Rodap">
    <w:name w:val="footer"/>
    <w:basedOn w:val="Normal"/>
    <w:link w:val="RodapCarter"/>
    <w:uiPriority w:val="99"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locked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rsid w:val="004B1118"/>
    <w:rPr>
      <w:vertAlign w:val="superscript"/>
    </w:rPr>
  </w:style>
  <w:style w:type="table" w:styleId="ListaClara-Cor1">
    <w:name w:val="Light List Accent 1"/>
    <w:basedOn w:val="Tabelanormal"/>
    <w:uiPriority w:val="99"/>
    <w:rsid w:val="00AF5C91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ombreadoClaro-Cor1">
    <w:name w:val="Light Shading Accent 1"/>
    <w:basedOn w:val="Tabelanormal"/>
    <w:uiPriority w:val="99"/>
    <w:rsid w:val="00273F5B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locked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99"/>
    <w:rsid w:val="0007582B"/>
    <w:rPr>
      <w:rFonts w:cs="Calibri"/>
      <w:color w:val="000000"/>
      <w:sz w:val="20"/>
      <w:szCs w:val="2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styleId="Hiperligao">
    <w:name w:val="Hyperlink"/>
    <w:basedOn w:val="Tipodeletrapredefinidodopargrafo"/>
    <w:uiPriority w:val="99"/>
    <w:semiHidden/>
    <w:rsid w:val="009D6EB5"/>
    <w:rPr>
      <w:color w:val="auto"/>
      <w:u w:val="none"/>
      <w:effect w:val="none"/>
    </w:rPr>
  </w:style>
  <w:style w:type="paragraph" w:styleId="NormalWeb">
    <w:name w:val="Normal (Web)"/>
    <w:basedOn w:val="Normal"/>
    <w:uiPriority w:val="99"/>
    <w:semiHidden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25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25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25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25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259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59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259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259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9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25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59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2598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225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re.pt/pdf1s/2011/06/11500/03177031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re.pt/pdf1s/2009/10/19700/0748207497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re.pt/application/file/699064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e.pt/application/file/67508037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64482A82.dotm</Template>
  <TotalTime>0</TotalTime>
  <Pages>5</Pages>
  <Words>3164</Words>
  <Characters>17086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Avaliação da Integração da Perspetiva da Igualdade entre Homens e Mulheres e Igualdade de Oportunidades e da não descriminação, em operações cofinanciadas</vt:lpstr>
    </vt:vector>
  </TitlesOfParts>
  <Company>Hewlett-Packard Company</Company>
  <LinksUpToDate>false</LinksUpToDate>
  <CharactersWithSpaces>20210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Avaliação da Integração da Perspetiva da Igualdade entre Homens e Mulheres e Igualdade de Oportunidades e da não descriminação, em operações cofinanciadas</dc:title>
  <dc:subject/>
  <dc:creator>FS</dc:creator>
  <cp:keywords/>
  <dc:description/>
  <cp:lastModifiedBy>Margarida Franca</cp:lastModifiedBy>
  <cp:revision>2</cp:revision>
  <cp:lastPrinted>2015-09-08T17:20:00Z</cp:lastPrinted>
  <dcterms:created xsi:type="dcterms:W3CDTF">2018-12-10T16:40:00Z</dcterms:created>
  <dcterms:modified xsi:type="dcterms:W3CDTF">2018-12-10T16:40:00Z</dcterms:modified>
</cp:coreProperties>
</file>