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8B19" w14:textId="0B455EB9" w:rsidR="002E1100" w:rsidRDefault="002E1100" w:rsidP="002E1100">
      <w:pPr>
        <w:pStyle w:val="Ttulo1"/>
        <w:jc w:val="center"/>
        <w:rPr>
          <w:rFonts w:ascii="Calibri Light" w:hAnsi="Calibri Light"/>
          <w:bCs w:val="0"/>
          <w:color w:val="auto"/>
          <w:sz w:val="22"/>
          <w:szCs w:val="22"/>
        </w:rPr>
      </w:pPr>
      <w:r w:rsidRPr="004235DD">
        <w:rPr>
          <w:rFonts w:ascii="Calibri Light" w:hAnsi="Calibri Light"/>
          <w:bCs w:val="0"/>
          <w:color w:val="auto"/>
          <w:sz w:val="22"/>
          <w:szCs w:val="22"/>
        </w:rPr>
        <w:t>Anexo B – Referencial de Mérito</w:t>
      </w:r>
    </w:p>
    <w:p w14:paraId="7F4FA26A" w14:textId="33A403D8" w:rsidR="004235DD" w:rsidRDefault="004235DD" w:rsidP="004235DD"/>
    <w:p w14:paraId="36343F6D" w14:textId="77777777" w:rsidR="00C11FEE" w:rsidRDefault="00C11FEE" w:rsidP="0004420F">
      <w:pPr>
        <w:jc w:val="both"/>
      </w:pPr>
    </w:p>
    <w:p w14:paraId="3A2BA64A" w14:textId="7F2D5E5D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O Indicador de Mérito absoluto dos projetos é determinado pelas seguintes categorias e ponderações abaixo indicadas:</w:t>
      </w:r>
    </w:p>
    <w:p w14:paraId="0A8A0069" w14:textId="77777777" w:rsidR="00CA6BB0" w:rsidRPr="00C11FEE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2FCA2FD" w14:textId="6F87489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A - Qualidade do projeto </w:t>
      </w:r>
    </w:p>
    <w:p w14:paraId="5C8E7809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 xml:space="preserve">B - Impacto em Resultados </w:t>
      </w:r>
    </w:p>
    <w:p w14:paraId="3C929BEF" w14:textId="77777777" w:rsidR="00C11FEE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C - Coerência com a Estratégia Regional</w:t>
      </w:r>
    </w:p>
    <w:p w14:paraId="379730F0" w14:textId="26279A18" w:rsidR="004235DD" w:rsidRPr="00CA6BB0" w:rsidRDefault="004235DD" w:rsidP="0004420F">
      <w:pPr>
        <w:pStyle w:val="PargrafodaLista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CA6BB0">
        <w:rPr>
          <w:rFonts w:asciiTheme="majorHAnsi" w:hAnsiTheme="majorHAnsi" w:cstheme="majorHAnsi"/>
          <w:sz w:val="20"/>
          <w:szCs w:val="20"/>
        </w:rPr>
        <w:t>D - Igualdade de oportunidades</w:t>
      </w:r>
    </w:p>
    <w:p w14:paraId="584F59FE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3E3D28AD" w14:textId="773C45DA" w:rsidR="004235DD" w:rsidRPr="00CA6BB0" w:rsidRDefault="004235DD" w:rsidP="0004420F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CA6BB0">
        <w:rPr>
          <w:rFonts w:asciiTheme="majorHAnsi" w:hAnsiTheme="majorHAnsi" w:cstheme="majorHAnsi"/>
          <w:b/>
          <w:bCs/>
          <w:sz w:val="20"/>
          <w:szCs w:val="20"/>
        </w:rPr>
        <w:t>Pontuação = 0,4 A + 0,25 B + 0,3 C+ 0,05 D</w:t>
      </w:r>
    </w:p>
    <w:p w14:paraId="5E50C191" w14:textId="77777777" w:rsidR="00C11FEE" w:rsidRPr="00C11FEE" w:rsidRDefault="00C11FEE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B4E453F" w14:textId="2C25EC9E" w:rsidR="004235DD" w:rsidRDefault="004235DD" w:rsidP="0004420F">
      <w:pPr>
        <w:jc w:val="both"/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A pontuação em cada uma das categorias é determinada segundo as regras, os critérios e dimensões de análise identificados nos quadros seguintes:</w:t>
      </w:r>
    </w:p>
    <w:p w14:paraId="45F33A65" w14:textId="77777777" w:rsidR="00CA6BB0" w:rsidRDefault="00CA6BB0" w:rsidP="0004420F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11FEE" w14:paraId="46D883F7" w14:textId="77777777" w:rsidTr="003A6B46">
        <w:trPr>
          <w:trHeight w:val="400"/>
        </w:trPr>
        <w:tc>
          <w:tcPr>
            <w:tcW w:w="8494" w:type="dxa"/>
            <w:gridSpan w:val="2"/>
            <w:shd w:val="clear" w:color="auto" w:fill="4472C4" w:themeFill="accent1"/>
            <w:vAlign w:val="center"/>
          </w:tcPr>
          <w:p w14:paraId="722D1701" w14:textId="4CF5BFC0" w:rsidR="00C11FEE" w:rsidRPr="00CA6BB0" w:rsidRDefault="00C11FEE" w:rsidP="003A6B4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A6B4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COMPONENTE FSE - PI 9.6</w:t>
            </w:r>
          </w:p>
        </w:tc>
      </w:tr>
      <w:tr w:rsidR="00C11FEE" w14:paraId="4BF47BF6" w14:textId="77777777" w:rsidTr="00CA6BB0">
        <w:trPr>
          <w:trHeight w:val="857"/>
        </w:trPr>
        <w:tc>
          <w:tcPr>
            <w:tcW w:w="4247" w:type="dxa"/>
            <w:vAlign w:val="center"/>
          </w:tcPr>
          <w:p w14:paraId="7B4B6548" w14:textId="736A3F03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Escala de avaliação</w:t>
            </w:r>
          </w:p>
        </w:tc>
        <w:tc>
          <w:tcPr>
            <w:tcW w:w="4247" w:type="dxa"/>
          </w:tcPr>
          <w:p w14:paraId="0FEDC8ED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[&lt; 50] – Baixo;</w:t>
            </w:r>
          </w:p>
          <w:p w14:paraId="7DF44286" w14:textId="77777777" w:rsid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[&gt;=50 e &lt;80] – Médio;</w:t>
            </w:r>
          </w:p>
          <w:p w14:paraId="16797119" w14:textId="2EB7A17F" w:rsidR="00C11FEE" w:rsidRPr="00C11FEE" w:rsidRDefault="00C11FEE" w:rsidP="0004420F">
            <w:pPr>
              <w:pStyle w:val="PargrafodaLista"/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[&gt;=80 e &lt;=100]</w:t>
            </w:r>
            <w:r w:rsidR="00CA6BB0">
              <w:rPr>
                <w:rFonts w:asciiTheme="majorHAnsi" w:hAnsiTheme="majorHAnsi" w:cstheme="majorHAnsi"/>
                <w:sz w:val="20"/>
                <w:szCs w:val="20"/>
              </w:rPr>
              <w:t xml:space="preserve"> - Elevado</w:t>
            </w:r>
          </w:p>
        </w:tc>
      </w:tr>
      <w:tr w:rsidR="00CA6BB0" w14:paraId="0E2967BD" w14:textId="77777777" w:rsidTr="00CA6BB0">
        <w:trPr>
          <w:trHeight w:val="1392"/>
        </w:trPr>
        <w:tc>
          <w:tcPr>
            <w:tcW w:w="4247" w:type="dxa"/>
            <w:vMerge w:val="restart"/>
            <w:vAlign w:val="center"/>
          </w:tcPr>
          <w:p w14:paraId="7D4468D3" w14:textId="45A9C9D1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Regras aplicáveis</w:t>
            </w:r>
          </w:p>
        </w:tc>
        <w:tc>
          <w:tcPr>
            <w:tcW w:w="4247" w:type="dxa"/>
          </w:tcPr>
          <w:p w14:paraId="44766C66" w14:textId="168AC1A9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O valor obtido para cada categoria corresponde à média das pontuações obtidas nos critérios dessa categoria. Quando um critério tiver mais de uma dimensão de análise, pontua pelo valor médio obtido nas respetivas dimensões.</w:t>
            </w:r>
          </w:p>
        </w:tc>
      </w:tr>
      <w:tr w:rsidR="00CA6BB0" w14:paraId="670AF5FF" w14:textId="77777777" w:rsidTr="00CA6BB0">
        <w:trPr>
          <w:trHeight w:val="587"/>
        </w:trPr>
        <w:tc>
          <w:tcPr>
            <w:tcW w:w="4247" w:type="dxa"/>
            <w:vMerge/>
            <w:vAlign w:val="center"/>
          </w:tcPr>
          <w:p w14:paraId="657D799A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19AEEEC7" w14:textId="281D17A4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 classificação é estabelecida com 2 casas decimais.</w:t>
            </w:r>
          </w:p>
        </w:tc>
      </w:tr>
      <w:tr w:rsidR="00CA6BB0" w14:paraId="2F80EED6" w14:textId="77777777" w:rsidTr="00CA6BB0">
        <w:trPr>
          <w:trHeight w:val="1232"/>
        </w:trPr>
        <w:tc>
          <w:tcPr>
            <w:tcW w:w="4247" w:type="dxa"/>
            <w:vMerge/>
            <w:vAlign w:val="center"/>
          </w:tcPr>
          <w:p w14:paraId="2A8C3033" w14:textId="77777777" w:rsidR="00CA6BB0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F21D1F8" w14:textId="1734B466" w:rsidR="00CA6BB0" w:rsidRDefault="00CA6BB0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Sempre que os elementos disponibilizados pelo beneficiário não permitam classificar de forma fundamentada um determinado critério, será atribuída a pontuação de 1.</w:t>
            </w:r>
          </w:p>
        </w:tc>
      </w:tr>
      <w:tr w:rsidR="00C11FEE" w14:paraId="34A93F12" w14:textId="77777777" w:rsidTr="00CA6BB0">
        <w:trPr>
          <w:trHeight w:val="1374"/>
        </w:trPr>
        <w:tc>
          <w:tcPr>
            <w:tcW w:w="4247" w:type="dxa"/>
            <w:vAlign w:val="center"/>
          </w:tcPr>
          <w:p w14:paraId="07C62A60" w14:textId="54F6B3FC" w:rsidR="00C11FEE" w:rsidRPr="00CA6BB0" w:rsidRDefault="00CA6BB0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Critérios de desempate</w:t>
            </w:r>
          </w:p>
        </w:tc>
        <w:tc>
          <w:tcPr>
            <w:tcW w:w="4247" w:type="dxa"/>
          </w:tcPr>
          <w:p w14:paraId="25722C30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C </w:t>
            </w:r>
          </w:p>
          <w:p w14:paraId="6DA3DD2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A </w:t>
            </w:r>
          </w:p>
          <w:p w14:paraId="4BA24B0C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classificação na categoria B </w:t>
            </w:r>
          </w:p>
          <w:p w14:paraId="00CDD7AF" w14:textId="77777777" w:rsidR="00CA6BB0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nº de PT a criar </w:t>
            </w:r>
          </w:p>
          <w:p w14:paraId="58544A0A" w14:textId="1A59C456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 xml:space="preserve">Maior valor de investimento elegível </w:t>
            </w:r>
          </w:p>
        </w:tc>
      </w:tr>
      <w:tr w:rsidR="00C11FEE" w14:paraId="1E1F6B89" w14:textId="77777777" w:rsidTr="00CA6BB0">
        <w:trPr>
          <w:trHeight w:val="697"/>
        </w:trPr>
        <w:tc>
          <w:tcPr>
            <w:tcW w:w="4247" w:type="dxa"/>
            <w:vAlign w:val="center"/>
          </w:tcPr>
          <w:p w14:paraId="62FBF6B2" w14:textId="5A18BA54" w:rsidR="00C11FEE" w:rsidRPr="00CA6BB0" w:rsidRDefault="00C11FEE" w:rsidP="0004420F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BB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Atribuição de Financiamento</w:t>
            </w:r>
          </w:p>
        </w:tc>
        <w:tc>
          <w:tcPr>
            <w:tcW w:w="4247" w:type="dxa"/>
          </w:tcPr>
          <w:p w14:paraId="7733ED31" w14:textId="54AABCEB" w:rsidR="00C11FEE" w:rsidRDefault="00C11FEE" w:rsidP="0004420F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C11FEE">
              <w:rPr>
                <w:rFonts w:asciiTheme="majorHAnsi" w:hAnsiTheme="majorHAnsi" w:cstheme="majorHAnsi"/>
                <w:sz w:val="20"/>
                <w:szCs w:val="20"/>
              </w:rPr>
              <w:t>As operações que reúnam a classificação final inferior a 50 não serão objeto de financiamento</w:t>
            </w:r>
          </w:p>
        </w:tc>
      </w:tr>
    </w:tbl>
    <w:p w14:paraId="4564516A" w14:textId="6F594FFA" w:rsid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05E18DD" w14:textId="77777777" w:rsidR="00C11FEE" w:rsidRPr="00C11FEE" w:rsidRDefault="00C11FEE" w:rsidP="004235DD">
      <w:pPr>
        <w:rPr>
          <w:rFonts w:asciiTheme="majorHAnsi" w:hAnsiTheme="majorHAnsi" w:cstheme="majorHAnsi"/>
          <w:sz w:val="20"/>
          <w:szCs w:val="20"/>
        </w:rPr>
      </w:pPr>
    </w:p>
    <w:p w14:paraId="5BEDC850" w14:textId="416ED9EA" w:rsidR="004235DD" w:rsidRPr="00C11FEE" w:rsidRDefault="004235DD" w:rsidP="004235DD">
      <w:pPr>
        <w:rPr>
          <w:rFonts w:asciiTheme="majorHAnsi" w:hAnsiTheme="majorHAnsi" w:cstheme="majorHAnsi"/>
          <w:sz w:val="20"/>
          <w:szCs w:val="20"/>
        </w:rPr>
      </w:pPr>
      <w:r w:rsidRPr="00C11FEE">
        <w:rPr>
          <w:rFonts w:asciiTheme="majorHAnsi" w:hAnsiTheme="majorHAnsi" w:cstheme="majorHAnsi"/>
          <w:sz w:val="20"/>
          <w:szCs w:val="20"/>
        </w:rPr>
        <w:t>.</w:t>
      </w:r>
    </w:p>
    <w:p w14:paraId="19A02410" w14:textId="2F94275F" w:rsidR="004235DD" w:rsidRDefault="004235DD" w:rsidP="004235DD"/>
    <w:p w14:paraId="503B5DB3" w14:textId="77777777" w:rsidR="004235DD" w:rsidRDefault="004235DD" w:rsidP="004235DD"/>
    <w:p w14:paraId="3ED1A21F" w14:textId="3A224845" w:rsidR="004235DD" w:rsidRDefault="004235DD" w:rsidP="004235DD">
      <w:pPr>
        <w:sectPr w:rsidR="004235DD" w:rsidSect="0004420F">
          <w:headerReference w:type="default" r:id="rId8"/>
          <w:headerReference w:type="first" r:id="rId9"/>
          <w:type w:val="continuous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D20D0D8" w14:textId="41A700AC" w:rsidR="004235DD" w:rsidRPr="004235DD" w:rsidRDefault="004235DD" w:rsidP="004235DD"/>
    <w:p w14:paraId="148A111B" w14:textId="77777777" w:rsidR="002E1100" w:rsidRPr="00BE6B10" w:rsidRDefault="002E1100" w:rsidP="002E1100"/>
    <w:p w14:paraId="0FBEF62E" w14:textId="77777777" w:rsidR="002E1100" w:rsidRDefault="002E1100" w:rsidP="002E1100">
      <w:pPr>
        <w:jc w:val="center"/>
      </w:pPr>
    </w:p>
    <w:p w14:paraId="104D5F25" w14:textId="1D3DBE76" w:rsidR="004235DD" w:rsidRDefault="004235DD" w:rsidP="002E1100"/>
    <w:tbl>
      <w:tblPr>
        <w:tblStyle w:val="TabelacomGrelha"/>
        <w:tblW w:w="15163" w:type="dxa"/>
        <w:tblLook w:val="04A0" w:firstRow="1" w:lastRow="0" w:firstColumn="1" w:lastColumn="0" w:noHBand="0" w:noVBand="1"/>
      </w:tblPr>
      <w:tblGrid>
        <w:gridCol w:w="1190"/>
        <w:gridCol w:w="1272"/>
        <w:gridCol w:w="1410"/>
        <w:gridCol w:w="2219"/>
        <w:gridCol w:w="6237"/>
        <w:gridCol w:w="2835"/>
      </w:tblGrid>
      <w:tr w:rsidR="004235DD" w:rsidRPr="004235DD" w14:paraId="25448F57" w14:textId="550D4396" w:rsidTr="00CA6BB0">
        <w:trPr>
          <w:trHeight w:val="240"/>
        </w:trPr>
        <w:tc>
          <w:tcPr>
            <w:tcW w:w="1190" w:type="dxa"/>
            <w:shd w:val="clear" w:color="auto" w:fill="4472C4" w:themeFill="accent1"/>
            <w:noWrap/>
            <w:hideMark/>
          </w:tcPr>
          <w:p w14:paraId="0347BE79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CATEGORIA</w:t>
            </w:r>
          </w:p>
        </w:tc>
        <w:tc>
          <w:tcPr>
            <w:tcW w:w="1272" w:type="dxa"/>
            <w:shd w:val="clear" w:color="auto" w:fill="4472C4" w:themeFill="accent1"/>
            <w:noWrap/>
            <w:hideMark/>
          </w:tcPr>
          <w:p w14:paraId="7262EBFD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VALORAÇÃO</w:t>
            </w:r>
          </w:p>
        </w:tc>
        <w:tc>
          <w:tcPr>
            <w:tcW w:w="1410" w:type="dxa"/>
            <w:shd w:val="clear" w:color="auto" w:fill="4472C4" w:themeFill="accent1"/>
            <w:noWrap/>
            <w:hideMark/>
          </w:tcPr>
          <w:p w14:paraId="5804466B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PONDERAÇÃO</w:t>
            </w:r>
          </w:p>
        </w:tc>
        <w:tc>
          <w:tcPr>
            <w:tcW w:w="2219" w:type="dxa"/>
            <w:shd w:val="clear" w:color="auto" w:fill="4472C4" w:themeFill="accent1"/>
            <w:noWrap/>
            <w:hideMark/>
          </w:tcPr>
          <w:p w14:paraId="370E4ADE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CRITÉRIO</w:t>
            </w:r>
          </w:p>
        </w:tc>
        <w:tc>
          <w:tcPr>
            <w:tcW w:w="6237" w:type="dxa"/>
            <w:shd w:val="clear" w:color="auto" w:fill="4472C4" w:themeFill="accent1"/>
            <w:noWrap/>
            <w:hideMark/>
          </w:tcPr>
          <w:p w14:paraId="3A5AF1E1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DIMENSÕES DE ANÁLISE</w:t>
            </w:r>
          </w:p>
        </w:tc>
        <w:tc>
          <w:tcPr>
            <w:tcW w:w="2835" w:type="dxa"/>
            <w:shd w:val="clear" w:color="auto" w:fill="4472C4" w:themeFill="accent1"/>
            <w:noWrap/>
            <w:hideMark/>
          </w:tcPr>
          <w:p w14:paraId="4DFE064D" w14:textId="77777777" w:rsidR="004235DD" w:rsidRPr="00CA6BB0" w:rsidRDefault="004235DD" w:rsidP="004235D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PONTUAÇÃO</w:t>
            </w:r>
          </w:p>
        </w:tc>
      </w:tr>
      <w:tr w:rsidR="004235DD" w:rsidRPr="004235DD" w14:paraId="1C8CE8E1" w14:textId="45B1F442" w:rsidTr="00CA6BB0">
        <w:trPr>
          <w:trHeight w:val="48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523BCE80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A. QUALIDADE DO PROJETO</w:t>
            </w:r>
          </w:p>
        </w:tc>
        <w:tc>
          <w:tcPr>
            <w:tcW w:w="1272" w:type="dxa"/>
            <w:vMerge w:val="restart"/>
            <w:vAlign w:val="center"/>
            <w:hideMark/>
          </w:tcPr>
          <w:p w14:paraId="5B6DF2C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40%</w:t>
            </w:r>
          </w:p>
        </w:tc>
        <w:tc>
          <w:tcPr>
            <w:tcW w:w="1410" w:type="dxa"/>
            <w:vMerge w:val="restart"/>
            <w:vAlign w:val="center"/>
            <w:hideMark/>
          </w:tcPr>
          <w:p w14:paraId="24083DF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6B3E4655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A.1. Adequação e coerência das ações propostas relativamente ao diagnóstico apresentado</w:t>
            </w:r>
          </w:p>
        </w:tc>
        <w:tc>
          <w:tcPr>
            <w:tcW w:w="6237" w:type="dxa"/>
            <w:vAlign w:val="center"/>
            <w:hideMark/>
          </w:tcPr>
          <w:p w14:paraId="4F1D12A7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A.1.1 - Adequação da operação às necessidades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das necessidades e adequação do número e função dos postos de trabalho a criar</w:t>
            </w:r>
          </w:p>
        </w:tc>
        <w:tc>
          <w:tcPr>
            <w:tcW w:w="2835" w:type="dxa"/>
            <w:noWrap/>
            <w:vAlign w:val="center"/>
            <w:hideMark/>
          </w:tcPr>
          <w:p w14:paraId="2961808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57A112D6" w14:textId="799B521C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4CEC2CC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B13FBC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78ADE75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28FDDED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4419C4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totalmente adequada ao diagnóstico apresentado</w:t>
            </w:r>
          </w:p>
        </w:tc>
        <w:tc>
          <w:tcPr>
            <w:tcW w:w="2835" w:type="dxa"/>
            <w:noWrap/>
            <w:vAlign w:val="center"/>
            <w:hideMark/>
          </w:tcPr>
          <w:p w14:paraId="0415E93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49AFEC5B" w14:textId="5204837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95C817E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CE0B23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322A47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30CBFC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B250403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a fundamentação para a necessidade da criação dos postos de trabalho é parcialmente adequada ao diagnóstico apresentado</w:t>
            </w:r>
          </w:p>
        </w:tc>
        <w:tc>
          <w:tcPr>
            <w:tcW w:w="2835" w:type="dxa"/>
            <w:noWrap/>
            <w:vAlign w:val="center"/>
            <w:hideMark/>
          </w:tcPr>
          <w:p w14:paraId="3617CA1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0C0BFC0D" w14:textId="7D81AEE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D0B3466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1E628F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5BF362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38DFBA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8FCA61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quando não existe informação que permita analisar adequadamente a pertinência da operação;</w:t>
            </w:r>
          </w:p>
        </w:tc>
        <w:tc>
          <w:tcPr>
            <w:tcW w:w="2835" w:type="dxa"/>
            <w:noWrap/>
            <w:vAlign w:val="center"/>
            <w:hideMark/>
          </w:tcPr>
          <w:p w14:paraId="7F7D7C0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2E302A9F" w14:textId="25283175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2D13A97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FC191B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vAlign w:val="center"/>
            <w:hideMark/>
          </w:tcPr>
          <w:p w14:paraId="6FFFF1A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20%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8E72561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A.2. Existência de mecanismos e acompanhamento durante e após a constituição da empresa que assegure a sua sobrevivência</w:t>
            </w:r>
          </w:p>
        </w:tc>
        <w:tc>
          <w:tcPr>
            <w:tcW w:w="6237" w:type="dxa"/>
            <w:vAlign w:val="center"/>
            <w:hideMark/>
          </w:tcPr>
          <w:p w14:paraId="6691E89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A.2.1 – Sustentabilidade do projeto no sentido de garantir, após o fim do apoio, a continuidade da intervenção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Identificação da estratégia de continuidade após o fim do apoio</w:t>
            </w:r>
          </w:p>
        </w:tc>
        <w:tc>
          <w:tcPr>
            <w:tcW w:w="2835" w:type="dxa"/>
            <w:noWrap/>
            <w:vAlign w:val="center"/>
            <w:hideMark/>
          </w:tcPr>
          <w:p w14:paraId="0695718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5A5B9CB4" w14:textId="5F0F18C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8DFD78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0E5D022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2797E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6FAA886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91FD3FA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apresenta soluções concretas de sustentabilidade e continuidade do projeto,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3513F99C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32C0749B" w14:textId="011EE1D6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79786BA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B183F2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C3C5E4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2F9240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6AE80BC3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apresenta soluções vagas sem qualquer nível de compromisso, planeamento ou estratégia, para a continuidade do projeto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6318354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11146EAC" w14:textId="297A0C78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C461E4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9052818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5DFFC6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CE3EE6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F3D316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entidade não apresenta nenhuma estratégia de continuidade do projeto após o fim do apoio.</w:t>
            </w:r>
          </w:p>
        </w:tc>
        <w:tc>
          <w:tcPr>
            <w:tcW w:w="2835" w:type="dxa"/>
            <w:noWrap/>
            <w:vAlign w:val="center"/>
            <w:hideMark/>
          </w:tcPr>
          <w:p w14:paraId="599DAD7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1BDAE81A" w14:textId="2829D63C" w:rsidTr="00CA6BB0">
        <w:trPr>
          <w:trHeight w:val="72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57E6780D" w14:textId="77777777" w:rsidR="004235DD" w:rsidRPr="00CA6BB0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B. IMPACTO EM RESULTADOS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3F98741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25%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6A9BF3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919714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B.1. Grau de cumprimento dos resultados acordados no âmbito de operações precedentes da responsabilidade do mesmo beneficiário</w:t>
            </w:r>
          </w:p>
        </w:tc>
        <w:tc>
          <w:tcPr>
            <w:tcW w:w="6237" w:type="dxa"/>
            <w:vAlign w:val="center"/>
            <w:hideMark/>
          </w:tcPr>
          <w:p w14:paraId="701C8C62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B.1.1 - As operações precedentes no âmbito do +CO3SO ou SI2E são inexistentes ou foram cumpridos os resultados previstos nos indicadores de realização acordados, no âmbito de outras operações +CO3SO ou SI2E (apresentar documentação comprovativa)</w:t>
            </w:r>
          </w:p>
        </w:tc>
        <w:tc>
          <w:tcPr>
            <w:tcW w:w="2835" w:type="dxa"/>
            <w:noWrap/>
            <w:vAlign w:val="center"/>
            <w:hideMark/>
          </w:tcPr>
          <w:p w14:paraId="12427DA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3602330A" w14:textId="44E6CA9F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806FA06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EB2841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81F38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168F42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26AB7F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inexistência de operações precedentes ou se evidenciar o cumprimento dos resultados previstos nos indicadores de realização em operações precedentes</w:t>
            </w:r>
          </w:p>
        </w:tc>
        <w:tc>
          <w:tcPr>
            <w:tcW w:w="2835" w:type="dxa"/>
            <w:noWrap/>
            <w:vAlign w:val="center"/>
            <w:hideMark/>
          </w:tcPr>
          <w:p w14:paraId="53210D2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6D4D6C6D" w14:textId="1AEE7EF5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D6CD503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334876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13BD79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FCB36F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12078908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evidenciar a existência de operações ainda a decorrer</w:t>
            </w:r>
          </w:p>
        </w:tc>
        <w:tc>
          <w:tcPr>
            <w:tcW w:w="2835" w:type="dxa"/>
            <w:noWrap/>
            <w:vAlign w:val="center"/>
            <w:hideMark/>
          </w:tcPr>
          <w:p w14:paraId="4620A457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28D1EF7" w14:textId="0D887FA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E459519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E75B18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42872E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ECC6F6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3DB2681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Pontua se não tiver ocorrido o cumprimento dos resultados previstos nos indicadores de realização em operações precedentes</w:t>
            </w:r>
          </w:p>
        </w:tc>
        <w:tc>
          <w:tcPr>
            <w:tcW w:w="2835" w:type="dxa"/>
            <w:noWrap/>
            <w:vAlign w:val="center"/>
            <w:hideMark/>
          </w:tcPr>
          <w:p w14:paraId="0960D30C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661559E7" w14:textId="5B90B028" w:rsidTr="00CA6BB0">
        <w:trPr>
          <w:trHeight w:val="48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AE9DEFE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91C9A6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395B487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7DF8C7A9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B.2. Contributo para a concretização dos indicadores de realização e resultado e indicadores específicos das operações definidos em sede de aviso de concurso e dos </w:t>
            </w: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objetivos específicos da prioridade de investimento</w:t>
            </w:r>
          </w:p>
        </w:tc>
        <w:tc>
          <w:tcPr>
            <w:tcW w:w="6237" w:type="dxa"/>
            <w:vAlign w:val="center"/>
            <w:hideMark/>
          </w:tcPr>
          <w:p w14:paraId="4C109FF2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B.2.1 Contribuição da operação para concretização dos indicadores de realização a contratualizar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de acordo com o nº de postos de trabalho a criar</w:t>
            </w:r>
          </w:p>
        </w:tc>
        <w:tc>
          <w:tcPr>
            <w:tcW w:w="2835" w:type="dxa"/>
            <w:noWrap/>
            <w:vAlign w:val="center"/>
            <w:hideMark/>
          </w:tcPr>
          <w:p w14:paraId="34D4E30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50; 80 ou 100</w:t>
            </w:r>
          </w:p>
        </w:tc>
      </w:tr>
      <w:tr w:rsidR="004235DD" w:rsidRPr="004235DD" w14:paraId="228AE3BD" w14:textId="4819E1CE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C26EA21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BF0CD7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006B05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BA79ADF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47ED4FBA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Mais de 2 postos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76186FEE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2A837B1D" w14:textId="108D3F94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54FA140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1AE9FB0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1D5103A8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806070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A480D21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- 2 postos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292C7B5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80</w:t>
            </w:r>
          </w:p>
        </w:tc>
      </w:tr>
      <w:tr w:rsidR="004235DD" w:rsidRPr="004235DD" w14:paraId="26BB2D6E" w14:textId="6E2F120F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116D337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3B1A9F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1D333E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E7B6C2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FF0ED5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- 1 posto de trabalho</w:t>
            </w:r>
          </w:p>
        </w:tc>
        <w:tc>
          <w:tcPr>
            <w:tcW w:w="2835" w:type="dxa"/>
            <w:noWrap/>
            <w:vAlign w:val="center"/>
            <w:hideMark/>
          </w:tcPr>
          <w:p w14:paraId="18CDB591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F7D8A63" w14:textId="640C8034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75CA9FD0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961DA0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9F56AD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710E4DF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E28F0E9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B.2.2 – Contribuição da operação para concretização dos indicadores de resultado a contratualizar</w:t>
            </w: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Nº de postos de trabalho que se mantêm 6 meses após o mês de conclusão da operação/Nº de postos de trabalho criados no âmbito da operação X 100</w:t>
            </w:r>
          </w:p>
        </w:tc>
        <w:tc>
          <w:tcPr>
            <w:tcW w:w="2835" w:type="dxa"/>
            <w:noWrap/>
            <w:vAlign w:val="center"/>
            <w:hideMark/>
          </w:tcPr>
          <w:p w14:paraId="03AF19C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103DDAA7" w14:textId="4DCEE362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E32EBA8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28750E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5C3711E5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7B65A94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9BDB82F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Percentagem =100%</w:t>
            </w:r>
          </w:p>
        </w:tc>
        <w:tc>
          <w:tcPr>
            <w:tcW w:w="2835" w:type="dxa"/>
            <w:noWrap/>
            <w:vAlign w:val="center"/>
            <w:hideMark/>
          </w:tcPr>
          <w:p w14:paraId="3E4FA370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0D8ED054" w14:textId="3FD17A5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FF9FFC7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4D6373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911A64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524D57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11D669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- 100 &lt; Percentagem &gt;=50%</w:t>
            </w:r>
          </w:p>
        </w:tc>
        <w:tc>
          <w:tcPr>
            <w:tcW w:w="2835" w:type="dxa"/>
            <w:noWrap/>
            <w:vAlign w:val="center"/>
            <w:hideMark/>
          </w:tcPr>
          <w:p w14:paraId="4FF538B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B7C2216" w14:textId="6BFF9207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3ADAF14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C67AEB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0A6DF4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CD15CA0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6DB1CD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Percentagem &lt; 50%</w:t>
            </w:r>
          </w:p>
        </w:tc>
        <w:tc>
          <w:tcPr>
            <w:tcW w:w="2835" w:type="dxa"/>
            <w:noWrap/>
            <w:vAlign w:val="center"/>
            <w:hideMark/>
          </w:tcPr>
          <w:p w14:paraId="2EED950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13BCE039" w14:textId="69DEF8D4" w:rsidTr="00CA6BB0">
        <w:trPr>
          <w:trHeight w:val="48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4348454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3DC5585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6DBDD6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8,33%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BCA58D1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B.3. Identificação de competências e Instrumentos e sua transformação em soluções de empreendedorismo social e ou económico</w:t>
            </w:r>
          </w:p>
        </w:tc>
        <w:tc>
          <w:tcPr>
            <w:tcW w:w="6237" w:type="dxa"/>
            <w:vAlign w:val="center"/>
            <w:hideMark/>
          </w:tcPr>
          <w:p w14:paraId="2CBE28F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B.3.1 – Inovação e </w:t>
            </w:r>
            <w:proofErr w:type="spellStart"/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de acordo com o grau de inovação e </w:t>
            </w:r>
            <w:proofErr w:type="spellStart"/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transferabilidade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16353EF4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1A4EC07B" w14:textId="62F0B3D6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4FF2AC6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BCD6A2D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026F0A0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78DF910A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3CC342E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é nova no contexto da organização e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3BFAA9BE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58AD23B1" w14:textId="171ADD0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5A3AFC15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3E5A3D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3BCA823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62F3148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26886D8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é nova no contexto da organização ou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1F09DE9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22ADCEEF" w14:textId="7AA9CDE8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53F192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60B52E4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BC7731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563544C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49C660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A solução de empreendedorismo social proposta não é nova no contexto da organização e não é demonstrado o seu potencial de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transferabilidade</w:t>
            </w:r>
            <w:proofErr w:type="spellEnd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para outras organizações do território</w:t>
            </w:r>
          </w:p>
        </w:tc>
        <w:tc>
          <w:tcPr>
            <w:tcW w:w="2835" w:type="dxa"/>
            <w:noWrap/>
            <w:vAlign w:val="center"/>
            <w:hideMark/>
          </w:tcPr>
          <w:p w14:paraId="0F03DFC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348C3545" w14:textId="3319BA54" w:rsidTr="00CA6BB0">
        <w:trPr>
          <w:trHeight w:val="24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00E86C49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7DB9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C. COERÊNCIA </w:t>
            </w: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COM A ESTRATÉGIA REGIONAL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6F8EEE9B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30%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5964921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0245636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C.1. Grau de alinhamento com as Ações Integradas de Desenvolvimento Territorial (AIDT)</w:t>
            </w:r>
          </w:p>
        </w:tc>
        <w:tc>
          <w:tcPr>
            <w:tcW w:w="6237" w:type="dxa"/>
            <w:vAlign w:val="center"/>
            <w:hideMark/>
          </w:tcPr>
          <w:p w14:paraId="3B027713" w14:textId="77777777" w:rsidR="004235DD" w:rsidRPr="004235DD" w:rsidRDefault="004235DD" w:rsidP="00CA6BB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C. 1.1 - Pontua na dimensão de análise em função do número de subcritérios cumpridos:</w:t>
            </w:r>
          </w:p>
        </w:tc>
        <w:tc>
          <w:tcPr>
            <w:tcW w:w="2835" w:type="dxa"/>
            <w:noWrap/>
            <w:vAlign w:val="center"/>
            <w:hideMark/>
          </w:tcPr>
          <w:p w14:paraId="689EF0E3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4FBFADFF" w14:textId="19AEBA93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1E454C3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F94754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6D635C9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7E2ED4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7B4DB0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Dois ou mais subcritérios</w:t>
            </w:r>
          </w:p>
        </w:tc>
        <w:tc>
          <w:tcPr>
            <w:tcW w:w="2835" w:type="dxa"/>
            <w:noWrap/>
            <w:vAlign w:val="center"/>
            <w:hideMark/>
          </w:tcPr>
          <w:p w14:paraId="7042DA5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4AFE0538" w14:textId="10400A83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78300D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7C496A4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5BD3FD8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6EB2DA3E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5E6B7C6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Um subcritério</w:t>
            </w:r>
          </w:p>
        </w:tc>
        <w:tc>
          <w:tcPr>
            <w:tcW w:w="2835" w:type="dxa"/>
            <w:noWrap/>
            <w:vAlign w:val="center"/>
            <w:hideMark/>
          </w:tcPr>
          <w:p w14:paraId="5C913DD5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75145F64" w14:textId="45CAAE2C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0E1B2451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424CEB47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1BEAD0F2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1A5E98B3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A14DB2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Nenhum subcritério</w:t>
            </w:r>
          </w:p>
        </w:tc>
        <w:tc>
          <w:tcPr>
            <w:tcW w:w="2835" w:type="dxa"/>
            <w:noWrap/>
            <w:vAlign w:val="center"/>
            <w:hideMark/>
          </w:tcPr>
          <w:p w14:paraId="4D273B22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  <w:tr w:rsidR="004235DD" w:rsidRPr="004235DD" w14:paraId="3E0CF54E" w14:textId="11F4B9D9" w:rsidTr="00CA6BB0">
        <w:trPr>
          <w:trHeight w:val="720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299C6994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708B1C1E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23C2A46F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15%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7D2B01C6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C.2. Potencial do projeto para a promoção do emprego de base local e promoção da sustentabilidade na utilização dos recursos</w:t>
            </w:r>
          </w:p>
        </w:tc>
        <w:tc>
          <w:tcPr>
            <w:tcW w:w="6237" w:type="dxa"/>
            <w:vAlign w:val="center"/>
            <w:hideMark/>
          </w:tcPr>
          <w:p w14:paraId="75F005C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C.2.1 – Peso dos postos de trabalho a apoiar no quadro de pessoal 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Pontua em função da razão nº de postos de trabalho a apoiar / nº de postos de trabalho em situação </w:t>
            </w:r>
            <w:proofErr w:type="spellStart"/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1419D4F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4994A68C" w14:textId="7F846AD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122B93CB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2CD1A026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00F99DA3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032122CD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2940C8E0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&gt;= 0,05 ou quando não existem postos de trabalho em situação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3566F36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26E63586" w14:textId="4C42998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6C62F36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C0E091A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2180062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477912F5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0AD92676" w14:textId="36F73530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- 0,05 &lt; Nº postos a apoiar / Nº postos existentes </w:t>
            </w:r>
            <w:r w:rsidR="003A6B46">
              <w:rPr>
                <w:rFonts w:asciiTheme="minorHAnsi" w:hAnsiTheme="minorHAnsi" w:cstheme="minorHAnsi"/>
                <w:sz w:val="18"/>
                <w:szCs w:val="18"/>
              </w:rPr>
              <w:t>&gt;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= 0,01</w:t>
            </w:r>
          </w:p>
        </w:tc>
        <w:tc>
          <w:tcPr>
            <w:tcW w:w="2835" w:type="dxa"/>
            <w:noWrap/>
            <w:vAlign w:val="center"/>
            <w:hideMark/>
          </w:tcPr>
          <w:p w14:paraId="47A52E18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796D7DD4" w14:textId="68430EC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textDirection w:val="btLr"/>
            <w:vAlign w:val="center"/>
            <w:hideMark/>
          </w:tcPr>
          <w:p w14:paraId="68A0113F" w14:textId="77777777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  <w:hideMark/>
          </w:tcPr>
          <w:p w14:paraId="5FC2873C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vAlign w:val="center"/>
            <w:hideMark/>
          </w:tcPr>
          <w:p w14:paraId="44CAF179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vAlign w:val="center"/>
            <w:hideMark/>
          </w:tcPr>
          <w:p w14:paraId="389E7F48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3385BC35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Nº postos a apoiar / Nº postos existentes &lt; 0,01</w:t>
            </w:r>
          </w:p>
        </w:tc>
        <w:tc>
          <w:tcPr>
            <w:tcW w:w="2835" w:type="dxa"/>
            <w:noWrap/>
            <w:vAlign w:val="center"/>
            <w:hideMark/>
          </w:tcPr>
          <w:p w14:paraId="2C9208EF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1F141C18" w14:textId="233B0831" w:rsidR="00CA6BB0" w:rsidRDefault="00CA6BB0"/>
    <w:p w14:paraId="2AB5FB99" w14:textId="2281D99D" w:rsidR="00CA6BB0" w:rsidRDefault="00CA6BB0"/>
    <w:p w14:paraId="6A8620A1" w14:textId="369EB8B6" w:rsidR="00CA6BB0" w:rsidRDefault="00CA6BB0"/>
    <w:p w14:paraId="0220F5CA" w14:textId="77777777" w:rsidR="00CA6BB0" w:rsidRDefault="00CA6BB0"/>
    <w:p w14:paraId="3105C4B7" w14:textId="77777777" w:rsidR="00327DB9" w:rsidRDefault="00327DB9" w:rsidP="004235DD">
      <w:pPr>
        <w:ind w:left="113" w:right="113"/>
        <w:jc w:val="center"/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  <w:sectPr w:rsidR="00327DB9" w:rsidSect="0004420F">
          <w:pgSz w:w="16838" w:h="11906" w:orient="landscape"/>
          <w:pgMar w:top="720" w:right="720" w:bottom="720" w:left="720" w:header="907" w:footer="708" w:gutter="0"/>
          <w:cols w:space="708"/>
          <w:docGrid w:linePitch="360"/>
        </w:sectPr>
      </w:pPr>
    </w:p>
    <w:p w14:paraId="6AD895CF" w14:textId="77777777" w:rsidR="00327DB9" w:rsidRDefault="00327DB9" w:rsidP="004235DD">
      <w:pPr>
        <w:ind w:left="113" w:right="113"/>
        <w:jc w:val="center"/>
        <w:rPr>
          <w:rFonts w:asciiTheme="minorHAnsi" w:hAnsiTheme="minorHAnsi" w:cstheme="minorHAnsi"/>
          <w:b/>
          <w:bCs/>
          <w:color w:val="FFFFFF" w:themeColor="background1"/>
          <w:sz w:val="20"/>
          <w:szCs w:val="20"/>
        </w:rPr>
        <w:sectPr w:rsidR="00327DB9" w:rsidSect="00327DB9">
          <w:type w:val="continuous"/>
          <w:pgSz w:w="16838" w:h="11906" w:orient="landscape"/>
          <w:pgMar w:top="720" w:right="720" w:bottom="720" w:left="720" w:header="907" w:footer="708" w:gutter="0"/>
          <w:cols w:space="708"/>
          <w:docGrid w:linePitch="360"/>
        </w:sectPr>
      </w:pPr>
    </w:p>
    <w:tbl>
      <w:tblPr>
        <w:tblStyle w:val="TabelacomGrelha"/>
        <w:tblW w:w="15163" w:type="dxa"/>
        <w:tblLook w:val="04A0" w:firstRow="1" w:lastRow="0" w:firstColumn="1" w:lastColumn="0" w:noHBand="0" w:noVBand="1"/>
      </w:tblPr>
      <w:tblGrid>
        <w:gridCol w:w="1190"/>
        <w:gridCol w:w="1272"/>
        <w:gridCol w:w="1410"/>
        <w:gridCol w:w="2219"/>
        <w:gridCol w:w="6237"/>
        <w:gridCol w:w="2835"/>
      </w:tblGrid>
      <w:tr w:rsidR="004235DD" w:rsidRPr="004235DD" w14:paraId="32CABA19" w14:textId="7ACEE5DF" w:rsidTr="00CA6BB0">
        <w:trPr>
          <w:trHeight w:val="720"/>
        </w:trPr>
        <w:tc>
          <w:tcPr>
            <w:tcW w:w="1190" w:type="dxa"/>
            <w:vMerge w:val="restart"/>
            <w:shd w:val="clear" w:color="auto" w:fill="4472C4" w:themeFill="accent1"/>
            <w:textDirection w:val="btLr"/>
            <w:vAlign w:val="center"/>
            <w:hideMark/>
          </w:tcPr>
          <w:p w14:paraId="78813961" w14:textId="455862F1" w:rsidR="004235DD" w:rsidRPr="004235DD" w:rsidRDefault="004235DD" w:rsidP="004235DD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A6BB0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D. IGUALDADE DE OPORTUNIDADES</w:t>
            </w:r>
          </w:p>
        </w:tc>
        <w:tc>
          <w:tcPr>
            <w:tcW w:w="1272" w:type="dxa"/>
            <w:vMerge w:val="restart"/>
            <w:noWrap/>
            <w:vAlign w:val="center"/>
            <w:hideMark/>
          </w:tcPr>
          <w:p w14:paraId="108338C0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1410" w:type="dxa"/>
            <w:vMerge w:val="restart"/>
            <w:noWrap/>
            <w:vAlign w:val="center"/>
            <w:hideMark/>
          </w:tcPr>
          <w:p w14:paraId="1524D0A1" w14:textId="77777777" w:rsidR="004235DD" w:rsidRPr="004235DD" w:rsidRDefault="004235DD" w:rsidP="004235D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</w:p>
        </w:tc>
        <w:tc>
          <w:tcPr>
            <w:tcW w:w="2219" w:type="dxa"/>
            <w:vMerge w:val="restart"/>
            <w:vAlign w:val="center"/>
            <w:hideMark/>
          </w:tcPr>
          <w:p w14:paraId="406470C7" w14:textId="77777777" w:rsidR="004235DD" w:rsidRPr="004235DD" w:rsidRDefault="004235DD" w:rsidP="00CA6BB0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D.1 Contributo para a prossecução dos objetivos das políticas de igualdade de oportunidades e de igualdade de género</w:t>
            </w:r>
          </w:p>
        </w:tc>
        <w:tc>
          <w:tcPr>
            <w:tcW w:w="6237" w:type="dxa"/>
            <w:vAlign w:val="center"/>
            <w:hideMark/>
          </w:tcPr>
          <w:p w14:paraId="68475649" w14:textId="04AD62FF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D.1.1 – A entidade já implementa políticas de igualdade de oportunidades e de igualdade de género </w:t>
            </w:r>
            <w:r w:rsidRPr="004235DD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Pontua quando demonstra que emprega pelo menos um trabalhador do género sub-representado</w:t>
            </w:r>
            <w:r w:rsidR="00327DB9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1"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ou trabalhador qualificado</w:t>
            </w:r>
            <w:r w:rsidR="00327DB9">
              <w:rPr>
                <w:rStyle w:val="Refdenotaderodap"/>
                <w:rFonts w:asciiTheme="minorHAnsi" w:hAnsiTheme="minorHAnsi" w:cstheme="minorHAnsi"/>
                <w:i/>
                <w:iCs/>
                <w:sz w:val="18"/>
                <w:szCs w:val="18"/>
              </w:rPr>
              <w:footnoteReference w:id="2"/>
            </w:r>
            <w:r w:rsidRPr="004235D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, através de documentos oficiais.</w:t>
            </w:r>
          </w:p>
        </w:tc>
        <w:tc>
          <w:tcPr>
            <w:tcW w:w="2835" w:type="dxa"/>
            <w:noWrap/>
            <w:vAlign w:val="center"/>
            <w:hideMark/>
          </w:tcPr>
          <w:p w14:paraId="13C6201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1; 50 ou 100</w:t>
            </w:r>
          </w:p>
        </w:tc>
      </w:tr>
      <w:tr w:rsidR="004235DD" w:rsidRPr="004235DD" w14:paraId="2D600069" w14:textId="65BE3712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26522873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38E695AD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0108D5C8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4AFE1B85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11728A32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e um trabalhador qualificado</w:t>
            </w:r>
          </w:p>
        </w:tc>
        <w:tc>
          <w:tcPr>
            <w:tcW w:w="2835" w:type="dxa"/>
            <w:noWrap/>
            <w:vAlign w:val="center"/>
            <w:hideMark/>
          </w:tcPr>
          <w:p w14:paraId="722C6D0A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100</w:t>
            </w:r>
          </w:p>
        </w:tc>
      </w:tr>
      <w:tr w:rsidR="004235DD" w:rsidRPr="004235DD" w14:paraId="509DAC21" w14:textId="1A3DD1BD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56FC85A6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30A0126A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07EF2F93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7E00BD51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7D6BBEFD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Pelo menos um trabalhador do género sub-representado ou um trabalhador qualificado</w:t>
            </w:r>
          </w:p>
        </w:tc>
        <w:tc>
          <w:tcPr>
            <w:tcW w:w="2835" w:type="dxa"/>
            <w:noWrap/>
            <w:vAlign w:val="center"/>
            <w:hideMark/>
          </w:tcPr>
          <w:p w14:paraId="298AE5C6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50</w:t>
            </w:r>
          </w:p>
        </w:tc>
      </w:tr>
      <w:tr w:rsidR="004235DD" w:rsidRPr="004235DD" w14:paraId="6F150B7C" w14:textId="3E068820" w:rsidTr="00CA6BB0">
        <w:trPr>
          <w:trHeight w:val="492"/>
        </w:trPr>
        <w:tc>
          <w:tcPr>
            <w:tcW w:w="1190" w:type="dxa"/>
            <w:vMerge/>
            <w:shd w:val="clear" w:color="auto" w:fill="4472C4" w:themeFill="accent1"/>
            <w:hideMark/>
          </w:tcPr>
          <w:p w14:paraId="4BE1479A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2" w:type="dxa"/>
            <w:vMerge/>
            <w:hideMark/>
          </w:tcPr>
          <w:p w14:paraId="1C84C214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vMerge/>
            <w:hideMark/>
          </w:tcPr>
          <w:p w14:paraId="2C1638A8" w14:textId="77777777" w:rsidR="004235DD" w:rsidRPr="004235DD" w:rsidRDefault="004235D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19" w:type="dxa"/>
            <w:vMerge/>
            <w:hideMark/>
          </w:tcPr>
          <w:p w14:paraId="6B885221" w14:textId="77777777" w:rsidR="004235DD" w:rsidRPr="004235DD" w:rsidRDefault="004235D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  <w:hideMark/>
          </w:tcPr>
          <w:p w14:paraId="67C3B8AB" w14:textId="77777777" w:rsidR="004235DD" w:rsidRPr="004235DD" w:rsidRDefault="004235DD" w:rsidP="00CA6BB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 xml:space="preserve"> - Nenhuma das anteriores ou empresa que não tenha trabalhadores no seu quadro em situação </w:t>
            </w:r>
            <w:proofErr w:type="spellStart"/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pré-projeto</w:t>
            </w:r>
            <w:proofErr w:type="spellEnd"/>
          </w:p>
        </w:tc>
        <w:tc>
          <w:tcPr>
            <w:tcW w:w="2835" w:type="dxa"/>
            <w:noWrap/>
            <w:vAlign w:val="center"/>
            <w:hideMark/>
          </w:tcPr>
          <w:p w14:paraId="5A905B8D" w14:textId="77777777" w:rsidR="004235DD" w:rsidRPr="004235DD" w:rsidRDefault="004235DD" w:rsidP="00CA6B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235D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</w:tr>
    </w:tbl>
    <w:p w14:paraId="28666576" w14:textId="30D25681" w:rsidR="002E1100" w:rsidRPr="004235DD" w:rsidRDefault="002E1100" w:rsidP="002E1100">
      <w:pPr>
        <w:rPr>
          <w:rFonts w:asciiTheme="majorHAnsi" w:hAnsiTheme="majorHAnsi" w:cstheme="majorHAnsi"/>
        </w:rPr>
      </w:pPr>
    </w:p>
    <w:p w14:paraId="67804BC6" w14:textId="77777777" w:rsidR="00B0741A" w:rsidRPr="004235DD" w:rsidRDefault="00B0741A">
      <w:pPr>
        <w:rPr>
          <w:rFonts w:asciiTheme="majorHAnsi" w:hAnsiTheme="majorHAnsi" w:cstheme="majorHAnsi"/>
        </w:rPr>
      </w:pPr>
    </w:p>
    <w:sectPr w:rsidR="00B0741A" w:rsidRPr="004235DD" w:rsidSect="00327DB9">
      <w:footnotePr>
        <w:numStart w:val="4"/>
      </w:footnotePr>
      <w:type w:val="continuous"/>
      <w:pgSz w:w="16838" w:h="11906" w:orient="landscape"/>
      <w:pgMar w:top="720" w:right="720" w:bottom="720" w:left="720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14CB4" w14:textId="77777777" w:rsidR="00622EED" w:rsidRDefault="00622EED" w:rsidP="0004420F">
      <w:r>
        <w:separator/>
      </w:r>
    </w:p>
  </w:endnote>
  <w:endnote w:type="continuationSeparator" w:id="0">
    <w:p w14:paraId="3FDEB6BB" w14:textId="77777777" w:rsidR="00622EED" w:rsidRDefault="00622EED" w:rsidP="0004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A1F7D" w14:textId="77777777" w:rsidR="00622EED" w:rsidRDefault="00622EED" w:rsidP="0004420F">
      <w:r>
        <w:separator/>
      </w:r>
    </w:p>
  </w:footnote>
  <w:footnote w:type="continuationSeparator" w:id="0">
    <w:p w14:paraId="32CF7445" w14:textId="77777777" w:rsidR="00622EED" w:rsidRDefault="00622EED" w:rsidP="0004420F">
      <w:r>
        <w:continuationSeparator/>
      </w:r>
    </w:p>
  </w:footnote>
  <w:footnote w:id="1">
    <w:p w14:paraId="48885AF1" w14:textId="465421D7" w:rsidR="00327DB9" w:rsidRDefault="00327DB9" w:rsidP="00327DB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 xml:space="preserve">Fonte: MTSS; </w:t>
      </w:r>
      <w:hyperlink r:id="rId1" w:history="1">
        <w:proofErr w:type="spellStart"/>
        <w:r w:rsidRPr="00327DB9">
          <w:rPr>
            <w:rStyle w:val="Hiperligao"/>
          </w:rPr>
          <w:t>I</w:t>
        </w:r>
        <w:r>
          <w:rPr>
            <w:rStyle w:val="Hiperligao"/>
            <w:rFonts w:asciiTheme="minorHAnsi" w:hAnsiTheme="minorHAnsi" w:cstheme="minorHAnsi"/>
          </w:rPr>
          <w:t>efp</w:t>
        </w:r>
        <w:proofErr w:type="spellEnd"/>
        <w:r>
          <w:rPr>
            <w:rStyle w:val="Hiperligao"/>
            <w:rFonts w:asciiTheme="minorHAnsi" w:hAnsiTheme="minorHAnsi" w:cstheme="minorHAnsi"/>
          </w:rPr>
          <w:t xml:space="preserve"> – Medida de Promoção de Igualdade de Género no Me</w:t>
        </w:r>
        <w:r>
          <w:rPr>
            <w:rStyle w:val="Hiperligao"/>
            <w:rFonts w:asciiTheme="minorHAnsi" w:hAnsiTheme="minorHAnsi" w:cstheme="minorHAnsi"/>
          </w:rPr>
          <w:t>rcado de Trabalho</w:t>
        </w:r>
        <w:r>
          <w:rPr>
            <w:rStyle w:val="Hiperligao"/>
            <w:rFonts w:asciiTheme="minorHAnsi" w:hAnsiTheme="minorHAnsi" w:cstheme="minorHAnsi"/>
          </w:rPr>
          <w:t xml:space="preserve"> (maio.2</w:t>
        </w:r>
        <w:r>
          <w:rPr>
            <w:rStyle w:val="Hiperligao"/>
            <w:rFonts w:asciiTheme="minorHAnsi" w:hAnsiTheme="minorHAnsi" w:cstheme="minorHAnsi"/>
          </w:rPr>
          <w:t>017)</w:t>
        </w:r>
      </w:hyperlink>
      <w:r>
        <w:t xml:space="preserve"> </w:t>
      </w:r>
    </w:p>
    <w:p w14:paraId="24A30069" w14:textId="77777777" w:rsidR="00327DB9" w:rsidRDefault="00327DB9">
      <w:pPr>
        <w:pStyle w:val="Textodenotaderodap"/>
      </w:pPr>
    </w:p>
  </w:footnote>
  <w:footnote w:id="2">
    <w:p w14:paraId="0ABB7CC6" w14:textId="7DC81D90" w:rsidR="00327DB9" w:rsidRDefault="00327DB9" w:rsidP="00327DB9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327DB9">
        <w:rPr>
          <w:rFonts w:asciiTheme="minorHAnsi" w:hAnsiTheme="minorHAnsi" w:cstheme="minorHAnsi"/>
        </w:rPr>
        <w:t>Trabalhadores qualificados», trabalhadores com nível de qualificação igual ou superior a 6, nos termos definidos pelo Quadro Nacional de Qualificações, aprovado pela Portaria n.º 782/2009, de 23 de julho.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0E370" w14:textId="51C29320" w:rsidR="0004420F" w:rsidRDefault="0004420F">
    <w:pPr>
      <w:pStyle w:val="Cabealho"/>
    </w:pPr>
    <w:r w:rsidRPr="0004420F">
      <w:rPr>
        <w:noProof/>
      </w:rPr>
      <w:drawing>
        <wp:anchor distT="0" distB="0" distL="114300" distR="114300" simplePos="0" relativeHeight="251669504" behindDoc="0" locked="0" layoutInCell="1" allowOverlap="1" wp14:anchorId="79BA3FB4" wp14:editId="2C7102BD">
          <wp:simplePos x="0" y="0"/>
          <wp:positionH relativeFrom="column">
            <wp:posOffset>2960370</wp:posOffset>
          </wp:positionH>
          <wp:positionV relativeFrom="paragraph">
            <wp:posOffset>-311785</wp:posOffset>
          </wp:positionV>
          <wp:extent cx="3078480" cy="262255"/>
          <wp:effectExtent l="0" t="0" r="7620" b="4445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4420F">
      <w:rPr>
        <w:noProof/>
      </w:rPr>
      <w:drawing>
        <wp:anchor distT="0" distB="0" distL="114300" distR="114300" simplePos="0" relativeHeight="251668480" behindDoc="1" locked="0" layoutInCell="1" allowOverlap="1" wp14:anchorId="3E0FF05D" wp14:editId="250E2362">
          <wp:simplePos x="0" y="0"/>
          <wp:positionH relativeFrom="column">
            <wp:posOffset>6090285</wp:posOffset>
          </wp:positionH>
          <wp:positionV relativeFrom="paragraph">
            <wp:posOffset>-334010</wp:posOffset>
          </wp:positionV>
          <wp:extent cx="714375" cy="303530"/>
          <wp:effectExtent l="0" t="0" r="9525" b="127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B64C1" w14:textId="48307D78" w:rsidR="0004420F" w:rsidRDefault="006B0EDF">
    <w:pPr>
      <w:pStyle w:val="Cabealho"/>
    </w:pPr>
    <w:r w:rsidRPr="0004420F">
      <w:rPr>
        <w:noProof/>
      </w:rPr>
      <w:drawing>
        <wp:anchor distT="0" distB="0" distL="114300" distR="114300" simplePos="0" relativeHeight="251665408" behindDoc="1" locked="0" layoutInCell="1" allowOverlap="1" wp14:anchorId="3B06F258" wp14:editId="3853C79F">
          <wp:simplePos x="0" y="0"/>
          <wp:positionH relativeFrom="column">
            <wp:posOffset>3956685</wp:posOffset>
          </wp:positionH>
          <wp:positionV relativeFrom="paragraph">
            <wp:posOffset>-9525</wp:posOffset>
          </wp:positionV>
          <wp:extent cx="714375" cy="303530"/>
          <wp:effectExtent l="0" t="0" r="9525" b="127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4420F">
      <w:rPr>
        <w:noProof/>
      </w:rPr>
      <w:drawing>
        <wp:anchor distT="0" distB="0" distL="114300" distR="114300" simplePos="0" relativeHeight="251666432" behindDoc="0" locked="0" layoutInCell="1" allowOverlap="1" wp14:anchorId="561854C3" wp14:editId="465BFA8A">
          <wp:simplePos x="0" y="0"/>
          <wp:positionH relativeFrom="margin">
            <wp:posOffset>775970</wp:posOffset>
          </wp:positionH>
          <wp:positionV relativeFrom="paragraph">
            <wp:posOffset>34290</wp:posOffset>
          </wp:positionV>
          <wp:extent cx="3078480" cy="262255"/>
          <wp:effectExtent l="0" t="0" r="7620" b="4445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8480" cy="262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4B1A"/>
    <w:multiLevelType w:val="hybridMultilevel"/>
    <w:tmpl w:val="E37E0F6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A305C"/>
    <w:multiLevelType w:val="hybridMultilevel"/>
    <w:tmpl w:val="11264AA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00"/>
    <w:rsid w:val="0004420F"/>
    <w:rsid w:val="002E1100"/>
    <w:rsid w:val="00327DB9"/>
    <w:rsid w:val="003A6B46"/>
    <w:rsid w:val="004235DD"/>
    <w:rsid w:val="00622EED"/>
    <w:rsid w:val="006B0EDF"/>
    <w:rsid w:val="00B0741A"/>
    <w:rsid w:val="00C11FEE"/>
    <w:rsid w:val="00CA6BB0"/>
    <w:rsid w:val="00E4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AC135"/>
  <w15:chartTrackingRefBased/>
  <w15:docId w15:val="{F90B14DC-DEAE-492F-8011-2A26FEB6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100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2E1100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2E1100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table" w:styleId="TabelacomGrelha">
    <w:name w:val="Table Grid"/>
    <w:basedOn w:val="Tabelanormal"/>
    <w:uiPriority w:val="59"/>
    <w:rsid w:val="002E1100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11FEE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04420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420F"/>
    <w:rPr>
      <w:rFonts w:ascii="Verdana" w:eastAsia="Times New Roman" w:hAnsi="Verdana" w:cs="Verdana"/>
      <w:sz w:val="14"/>
      <w:szCs w:val="14"/>
      <w:lang w:eastAsia="pt-PT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27DB9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27DB9"/>
    <w:rPr>
      <w:rFonts w:ascii="Verdana" w:eastAsia="Times New Roman" w:hAnsi="Verdana" w:cs="Verdana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27DB9"/>
    <w:rPr>
      <w:vertAlign w:val="superscript"/>
    </w:rPr>
  </w:style>
  <w:style w:type="character" w:styleId="Hiperligao">
    <w:name w:val="Hyperlink"/>
    <w:basedOn w:val="Tipodeletrapredefinidodopargrafo"/>
    <w:uiPriority w:val="99"/>
    <w:semiHidden/>
    <w:unhideWhenUsed/>
    <w:rsid w:val="00327DB9"/>
    <w:rPr>
      <w:color w:val="0000FF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327D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efp.pt/documents/10181/190358/Lista+CPP+_Contrato-Emprego+e+Est%C3%A1gios+Profissionais/3cd91cf8-d9d4-4aae-9561-c630ae32bc33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lh3.googleusercontent.com/Qnmm5Ek9N7axNVJfJ_MjNTtvVO-ncgrGw554Vl0YzKdzTBOxqGGHTQrpApks0VpuM1t1-iH2yrF-JtcIu3nqDNeC3PVm_GBcszwcwXk79Pq7xP0-AYPqqDFM23njD4Aq97jt7_b3gMA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https://lh3.googleusercontent.com/Qnmm5Ek9N7axNVJfJ_MjNTtvVO-ncgrGw554Vl0YzKdzTBOxqGGHTQrpApks0VpuM1t1-iH2yrF-JtcIu3nqDNeC3PVm_GBcszwcwXk79Pq7xP0-AYPqqDFM23njD4Aq97jt7_b3gMA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E67E8-A4A0-4906-B2A8-C7C53749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1078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Mendes</dc:creator>
  <cp:keywords/>
  <dc:description/>
  <cp:lastModifiedBy>Francisco Mendes</cp:lastModifiedBy>
  <cp:revision>6</cp:revision>
  <dcterms:created xsi:type="dcterms:W3CDTF">2020-08-06T16:40:00Z</dcterms:created>
  <dcterms:modified xsi:type="dcterms:W3CDTF">2020-08-06T17:30:00Z</dcterms:modified>
</cp:coreProperties>
</file>