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B6214" w14:textId="77777777" w:rsidR="00C47D5D" w:rsidRPr="00DB6E55" w:rsidRDefault="00D423ED" w:rsidP="00D423ED">
      <w:pPr>
        <w:pStyle w:val="PORAMTtulo2"/>
        <w:jc w:val="left"/>
        <w:rPr>
          <w:color w:val="auto"/>
          <w:sz w:val="24"/>
          <w:szCs w:val="24"/>
        </w:rPr>
      </w:pPr>
      <w:r>
        <w:rPr>
          <w:rFonts w:ascii="Calibri" w:eastAsiaTheme="minorHAnsi" w:hAnsi="Calibri" w:cs="Calibri"/>
          <w:noProof/>
          <w:sz w:val="22"/>
          <w:szCs w:val="22"/>
          <w:lang w:val="pt" w:eastAsia="en-US"/>
        </w:rPr>
        <w:drawing>
          <wp:inline distT="0" distB="0" distL="0" distR="0" wp14:anchorId="1A472200" wp14:editId="35F026CD">
            <wp:extent cx="1304925" cy="4857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7D5D">
        <w:rPr>
          <w:color w:val="auto"/>
          <w:sz w:val="24"/>
          <w:szCs w:val="24"/>
        </w:rPr>
        <w:t>Anexo II -Parâmetros e Crité</w:t>
      </w:r>
      <w:r w:rsidR="00C47D5D" w:rsidRPr="00DB6E55">
        <w:rPr>
          <w:color w:val="auto"/>
          <w:sz w:val="24"/>
          <w:szCs w:val="24"/>
        </w:rPr>
        <w:t>rios de Seleção</w:t>
      </w:r>
    </w:p>
    <w:p w14:paraId="163E852A" w14:textId="77777777" w:rsidR="00CA7AEA" w:rsidRPr="000F453C" w:rsidRDefault="00CA7AEA" w:rsidP="00494797">
      <w:pPr>
        <w:pStyle w:val="PORAMNormal"/>
        <w:spacing w:before="120" w:after="120"/>
        <w:ind w:left="-567"/>
        <w:rPr>
          <w:rFonts w:cs="Microsoft Sans Serif"/>
          <w:szCs w:val="18"/>
        </w:rPr>
      </w:pPr>
    </w:p>
    <w:tbl>
      <w:tblPr>
        <w:tblW w:w="5628" w:type="pct"/>
        <w:jc w:val="center"/>
        <w:tblBorders>
          <w:top w:val="single" w:sz="4" w:space="0" w:color="004295"/>
          <w:left w:val="single" w:sz="4" w:space="0" w:color="004295"/>
          <w:bottom w:val="single" w:sz="4" w:space="0" w:color="004295"/>
          <w:right w:val="single" w:sz="4" w:space="0" w:color="004295"/>
          <w:insideH w:val="single" w:sz="4" w:space="0" w:color="004295"/>
          <w:insideV w:val="single" w:sz="4" w:space="0" w:color="004295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34"/>
        <w:gridCol w:w="558"/>
        <w:gridCol w:w="419"/>
        <w:gridCol w:w="2767"/>
        <w:gridCol w:w="3383"/>
      </w:tblGrid>
      <w:tr w:rsidR="006B1C6F" w:rsidRPr="00B917A0" w14:paraId="4B9ABB83" w14:textId="77777777" w:rsidTr="006B1C6F">
        <w:trPr>
          <w:trHeight w:hRule="exact" w:val="340"/>
          <w:jc w:val="center"/>
        </w:trPr>
        <w:tc>
          <w:tcPr>
            <w:tcW w:w="1273" w:type="pct"/>
            <w:shd w:val="clear" w:color="auto" w:fill="auto"/>
            <w:vAlign w:val="center"/>
            <w:hideMark/>
          </w:tcPr>
          <w:p w14:paraId="7787654F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Critérios de Seleção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14:paraId="20468BBA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Ponderador</w:t>
            </w:r>
          </w:p>
        </w:tc>
        <w:tc>
          <w:tcPr>
            <w:tcW w:w="1666" w:type="pct"/>
            <w:gridSpan w:val="2"/>
            <w:shd w:val="clear" w:color="auto" w:fill="auto"/>
            <w:vAlign w:val="center"/>
            <w:hideMark/>
          </w:tcPr>
          <w:p w14:paraId="4D6B1425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Valoração</w:t>
            </w:r>
          </w:p>
        </w:tc>
        <w:tc>
          <w:tcPr>
            <w:tcW w:w="1769" w:type="pct"/>
          </w:tcPr>
          <w:p w14:paraId="1FF0A46A" w14:textId="77777777" w:rsidR="00160731" w:rsidRDefault="00160731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</w:pPr>
          </w:p>
          <w:p w14:paraId="6DE0293B" w14:textId="77777777" w:rsidR="000E367A" w:rsidRPr="00B917A0" w:rsidRDefault="00160731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  <w:t>Orientações</w:t>
            </w:r>
          </w:p>
        </w:tc>
      </w:tr>
      <w:tr w:rsidR="00544616" w:rsidRPr="00B917A0" w14:paraId="546CD1EE" w14:textId="77777777" w:rsidTr="006B1C6F">
        <w:trPr>
          <w:trHeight w:hRule="exact" w:val="450"/>
          <w:jc w:val="center"/>
        </w:trPr>
        <w:tc>
          <w:tcPr>
            <w:tcW w:w="1273" w:type="pct"/>
            <w:vMerge w:val="restart"/>
            <w:shd w:val="clear" w:color="auto" w:fill="auto"/>
            <w:vAlign w:val="center"/>
            <w:hideMark/>
          </w:tcPr>
          <w:p w14:paraId="0A186CD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Contributo para o cumprimento das metas associadas ao indicador de realização e comum comunitário da Prioridade de Investimento, "Aumento do número esperado de visitantes a sítios de património cultural e natural e atrações beneficiários de apoio"</w:t>
            </w:r>
          </w:p>
        </w:tc>
        <w:tc>
          <w:tcPr>
            <w:tcW w:w="292" w:type="pct"/>
            <w:vMerge w:val="restart"/>
            <w:shd w:val="clear" w:color="auto" w:fill="auto"/>
            <w:vAlign w:val="center"/>
            <w:hideMark/>
          </w:tcPr>
          <w:p w14:paraId="6613CB7E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20728FBF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D323B8">
              <w:rPr>
                <w:rFonts w:ascii="Microsoft Sans Serif" w:hAnsi="Microsoft Sans Serif" w:cs="Microsoft Sans Serif"/>
                <w:sz w:val="16"/>
                <w:szCs w:val="16"/>
                <w:highlight w:val="yellow"/>
              </w:rPr>
              <w:t>5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6601463C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Acréscimo até 800 visitantes/ano por 100.000€ de investimento </w:t>
            </w:r>
          </w:p>
        </w:tc>
        <w:tc>
          <w:tcPr>
            <w:tcW w:w="1769" w:type="pct"/>
            <w:vMerge w:val="restart"/>
            <w:vAlign w:val="center"/>
          </w:tcPr>
          <w:p w14:paraId="59F0604F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Este critério está diretamente relacionado com o indicador de realização "Aumento do número esperado de visitantes a sítios de património cultural e natural e atrações beneficiários de apoio".</w:t>
            </w:r>
          </w:p>
          <w:p w14:paraId="75ABA1D8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mais contribuam para o Indicador em causa.</w:t>
            </w:r>
          </w:p>
        </w:tc>
      </w:tr>
      <w:tr w:rsidR="00544616" w:rsidRPr="00B917A0" w14:paraId="5528EADE" w14:textId="77777777" w:rsidTr="006B1C6F">
        <w:trPr>
          <w:trHeight w:hRule="exact" w:val="656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6DBE780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3F101D01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6835957D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6AB4CC5A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Acréscimo entre 800 e 1.000 visitantes/ano por 100.000€ de investimento </w:t>
            </w:r>
            <w:r w:rsidRPr="00B917A0"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69" w:type="pct"/>
            <w:vMerge/>
            <w:vAlign w:val="center"/>
          </w:tcPr>
          <w:p w14:paraId="351080C6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210A9AED" w14:textId="77777777" w:rsidTr="006B1C6F">
        <w:trPr>
          <w:trHeight w:hRule="exact" w:val="565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1DC736A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7E8906CC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69D6C7A7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6FB64222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Acréscimo de mais de 1.000 visitantes/ano por 100.000€ de investimento </w:t>
            </w:r>
          </w:p>
        </w:tc>
        <w:tc>
          <w:tcPr>
            <w:tcW w:w="1769" w:type="pct"/>
            <w:vMerge/>
            <w:vAlign w:val="center"/>
          </w:tcPr>
          <w:p w14:paraId="3E1404D8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234DBA78" w14:textId="77777777" w:rsidTr="006B1C6F">
        <w:trPr>
          <w:trHeight w:hRule="exact" w:val="276"/>
          <w:jc w:val="center"/>
        </w:trPr>
        <w:tc>
          <w:tcPr>
            <w:tcW w:w="1273" w:type="pct"/>
            <w:vMerge w:val="restart"/>
            <w:shd w:val="clear" w:color="auto" w:fill="auto"/>
            <w:noWrap/>
            <w:vAlign w:val="center"/>
            <w:hideMark/>
          </w:tcPr>
          <w:p w14:paraId="2EE64260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Complementaridade dos investimentos com outras operações</w:t>
            </w:r>
          </w:p>
        </w:tc>
        <w:tc>
          <w:tcPr>
            <w:tcW w:w="292" w:type="pct"/>
            <w:vMerge w:val="restart"/>
            <w:shd w:val="clear" w:color="auto" w:fill="auto"/>
            <w:vAlign w:val="center"/>
            <w:hideMark/>
          </w:tcPr>
          <w:p w14:paraId="528D3344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10%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0DF4A21B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7CFB969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Não existem complementaridade</w:t>
            </w:r>
          </w:p>
        </w:tc>
        <w:tc>
          <w:tcPr>
            <w:tcW w:w="1769" w:type="pct"/>
            <w:vMerge w:val="restart"/>
            <w:vAlign w:val="center"/>
          </w:tcPr>
          <w:p w14:paraId="5ACCDBD9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complementem intervenções, tanto, em períodos de programação anteriores, como, no atual período de programação, sem que a operação represente intervenções sobre o mesmo equipamento. </w:t>
            </w:r>
          </w:p>
          <w:p w14:paraId="001AE848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As operações a financiar, devem demonstrar que aliadas a outros investimentos (materiais ou imateriais) constituem um projeto integrado, p.e., a intervenção </w:t>
            </w:r>
            <w:r w:rsidR="00E0730C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pode ser 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complementada com </w:t>
            </w:r>
            <w:r w:rsidR="00E0730C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outra</w:t>
            </w:r>
            <w:r w:rsidR="000756E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</w:t>
            </w:r>
            <w:r w:rsidR="000756E8"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(materiais ou imateriais)</w:t>
            </w:r>
            <w:r w:rsidR="00E0730C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, podendo esta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ser </w:t>
            </w:r>
            <w:r w:rsidR="00E0730C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ou ter sido financiada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por outras fontes (p.e. programas europeus - Programa Europa Criativa)</w:t>
            </w:r>
          </w:p>
        </w:tc>
      </w:tr>
      <w:tr w:rsidR="00544616" w:rsidRPr="00B917A0" w14:paraId="69B6A4E6" w14:textId="77777777" w:rsidTr="006B1C6F">
        <w:trPr>
          <w:trHeight w:hRule="exact" w:val="991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77F75CC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67AFBFBF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5C5BE0B8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4BC8E6F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Complementaridade com outras operações realizadas no âmbito anterior (Intervir+ ou Rumos) ou atual período de programação (Madeira 14-20)</w:t>
            </w:r>
          </w:p>
        </w:tc>
        <w:tc>
          <w:tcPr>
            <w:tcW w:w="1769" w:type="pct"/>
            <w:vMerge/>
            <w:vAlign w:val="center"/>
          </w:tcPr>
          <w:p w14:paraId="755219DA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453D3985" w14:textId="77777777" w:rsidTr="006B1C6F">
        <w:trPr>
          <w:trHeight w:hRule="exact" w:val="1275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1EE0EA31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35851D16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4EB9B32D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C474FB">
              <w:rPr>
                <w:rFonts w:ascii="Microsoft Sans Serif" w:hAnsi="Microsoft Sans Serif" w:cs="Microsoft Sans Serif"/>
                <w:sz w:val="16"/>
                <w:szCs w:val="16"/>
                <w:highlight w:val="yellow"/>
              </w:rPr>
              <w:t>20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451BAB8D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Complementaridade com outras operações realizadas no âmbito anterior (Intervir+ ou Rumos) ou atual período de programação (Madeira 14-20) </w:t>
            </w:r>
            <w:r w:rsidRPr="000756E8">
              <w:rPr>
                <w:rFonts w:ascii="Microsoft Sans Serif" w:hAnsi="Microsoft Sans Serif" w:cs="Microsoft Sans Serif"/>
                <w:bCs/>
                <w:sz w:val="16"/>
                <w:szCs w:val="16"/>
              </w:rPr>
              <w:t>e</w:t>
            </w:r>
            <w:r w:rsidRPr="00B917A0"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  <w:t xml:space="preserve"> </w:t>
            </w: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com outros Programas Nacionais ou Comunitários </w:t>
            </w:r>
          </w:p>
        </w:tc>
        <w:tc>
          <w:tcPr>
            <w:tcW w:w="1769" w:type="pct"/>
            <w:vMerge/>
            <w:vAlign w:val="center"/>
          </w:tcPr>
          <w:p w14:paraId="519110C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0C4B5AE9" w14:textId="77777777" w:rsidTr="006B1C6F">
        <w:trPr>
          <w:trHeight w:hRule="exact" w:val="570"/>
          <w:jc w:val="center"/>
        </w:trPr>
        <w:tc>
          <w:tcPr>
            <w:tcW w:w="1273" w:type="pct"/>
            <w:vMerge w:val="restart"/>
            <w:shd w:val="clear" w:color="auto" w:fill="auto"/>
            <w:vAlign w:val="center"/>
            <w:hideMark/>
          </w:tcPr>
          <w:p w14:paraId="58D488FE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Valorização do património natural com potencial de captação de fluxos turísticos.</w:t>
            </w:r>
          </w:p>
        </w:tc>
        <w:tc>
          <w:tcPr>
            <w:tcW w:w="292" w:type="pct"/>
            <w:vMerge w:val="restart"/>
            <w:shd w:val="clear" w:color="auto" w:fill="auto"/>
            <w:vAlign w:val="center"/>
            <w:hideMark/>
          </w:tcPr>
          <w:p w14:paraId="6C9864C4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2D5EB402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D323B8">
              <w:rPr>
                <w:rFonts w:ascii="Microsoft Sans Serif" w:hAnsi="Microsoft Sans Serif" w:cs="Microsoft Sans Serif"/>
                <w:sz w:val="16"/>
                <w:szCs w:val="16"/>
                <w:highlight w:val="yellow"/>
              </w:rPr>
              <w:t>5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252C6D7F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Intervenção no património natural que melhorem as condições de visitação</w:t>
            </w:r>
          </w:p>
        </w:tc>
        <w:tc>
          <w:tcPr>
            <w:tcW w:w="1769" w:type="pct"/>
            <w:vMerge w:val="restart"/>
            <w:vAlign w:val="center"/>
          </w:tcPr>
          <w:p w14:paraId="34716087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visem melhorar as condições de visitação do património natural, valorizando as ações que captem fluxos turísticos para a RAM e as que incidam em património classificado.</w:t>
            </w:r>
          </w:p>
          <w:p w14:paraId="7C90E824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Nota: </w:t>
            </w:r>
          </w:p>
          <w:p w14:paraId="5E26A9C2" w14:textId="77777777" w:rsidR="00725266" w:rsidRPr="00F02E71" w:rsidRDefault="00725266" w:rsidP="00E0730C">
            <w:pPr>
              <w:spacing w:before="60" w:after="60"/>
              <w:ind w:left="113" w:hanging="113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- Rede Natura 2000 (11 zonas especiais de conservação-ZEC, no âmbito da diretiva dos habitats e 5 zonas de proteção especiais- ZPE, no âmbito da Diretiva das Aves); - Parque Natural da Madeira; - Reserva Natural Parcial do Garajau; - Reserva natural da Rocha do Navio; - Reserva Natural das Ilhas Desertas; - Reserva Natural das Ilhas Selvagens; - Reserva de áreas Marinhas Protegidas do Porto Santo</w:t>
            </w:r>
          </w:p>
        </w:tc>
      </w:tr>
      <w:tr w:rsidR="00544616" w:rsidRPr="00B917A0" w14:paraId="66B4DCED" w14:textId="77777777" w:rsidTr="006B1C6F">
        <w:trPr>
          <w:trHeight w:hRule="exact" w:val="847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41EB518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7BA42479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63183422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3294F80F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Intervenção no património natural que melhorem as condições de visitação em locais que captem fluxos turísticos</w:t>
            </w:r>
          </w:p>
        </w:tc>
        <w:tc>
          <w:tcPr>
            <w:tcW w:w="1769" w:type="pct"/>
            <w:vMerge/>
            <w:vAlign w:val="center"/>
          </w:tcPr>
          <w:p w14:paraId="17FD2D0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18FA61A5" w14:textId="77777777" w:rsidTr="006B1C6F">
        <w:trPr>
          <w:trHeight w:hRule="exact" w:val="1338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438C4E3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78A1267C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594E5E14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2E7C08FF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Intervenção de valorização no património natural classificado (nos 9 sítios de Importância Comunitária e 4 Zonas de Proteção Especial) ou no Património natural marítimo, que permitam captar fluxos turísticos</w:t>
            </w:r>
          </w:p>
        </w:tc>
        <w:tc>
          <w:tcPr>
            <w:tcW w:w="1769" w:type="pct"/>
            <w:vMerge/>
            <w:vAlign w:val="center"/>
          </w:tcPr>
          <w:p w14:paraId="6771EF68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4E8E79B8" w14:textId="77777777" w:rsidTr="006B1C6F">
        <w:trPr>
          <w:trHeight w:hRule="exact" w:val="555"/>
          <w:jc w:val="center"/>
        </w:trPr>
        <w:tc>
          <w:tcPr>
            <w:tcW w:w="1273" w:type="pct"/>
            <w:vMerge w:val="restart"/>
            <w:shd w:val="clear" w:color="auto" w:fill="auto"/>
            <w:vAlign w:val="center"/>
            <w:hideMark/>
          </w:tcPr>
          <w:p w14:paraId="5880A9E4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Valorização, proteção e promoção do património natural como potenciador atividade económica relacionada com o turismo</w:t>
            </w:r>
          </w:p>
        </w:tc>
        <w:tc>
          <w:tcPr>
            <w:tcW w:w="292" w:type="pct"/>
            <w:vMerge w:val="restart"/>
            <w:shd w:val="clear" w:color="auto" w:fill="auto"/>
            <w:vAlign w:val="center"/>
            <w:hideMark/>
          </w:tcPr>
          <w:p w14:paraId="5B027D72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099374A8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78EEF644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Intervenções no património natural sem reflexo na diversificação da oferta turística </w:t>
            </w:r>
          </w:p>
        </w:tc>
        <w:tc>
          <w:tcPr>
            <w:tcW w:w="1769" w:type="pct"/>
            <w:vMerge w:val="restart"/>
            <w:vAlign w:val="center"/>
          </w:tcPr>
          <w:p w14:paraId="026A9979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proporcionem o desenvolvimento de novos serviços/produtos/atividades turísticas, sendo mais valorizadas as ações que promovam oferta turística em produtos emergentes associados à natureza e à atividade desportiva (terra e mar).</w:t>
            </w:r>
          </w:p>
        </w:tc>
      </w:tr>
      <w:tr w:rsidR="00544616" w:rsidRPr="00B917A0" w14:paraId="554C02E0" w14:textId="77777777" w:rsidTr="006E51E5">
        <w:trPr>
          <w:trHeight w:hRule="exact" w:val="751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4AE05B9E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1C2789BA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33DB696E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03687808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Intervenções que permitam a diversificação da oferta turística (novos produtos/serviços, exploração novos segmentos)</w:t>
            </w:r>
          </w:p>
        </w:tc>
        <w:tc>
          <w:tcPr>
            <w:tcW w:w="1769" w:type="pct"/>
            <w:vMerge/>
            <w:vAlign w:val="center"/>
          </w:tcPr>
          <w:p w14:paraId="59D180EE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277B2AB9" w14:textId="77777777" w:rsidTr="000222EA">
        <w:trPr>
          <w:trHeight w:hRule="exact" w:val="947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6017321A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74E9EA68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4CD28540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C474FB">
              <w:rPr>
                <w:rFonts w:ascii="Microsoft Sans Serif" w:hAnsi="Microsoft Sans Serif" w:cs="Microsoft Sans Serif"/>
                <w:sz w:val="16"/>
                <w:szCs w:val="16"/>
                <w:highlight w:val="yellow"/>
              </w:rPr>
              <w:t>20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434ED0A0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Intervenções que permitam a diversificação da oferta turística em produtos emergentes associados à natureza e à atividade desportiva (terra e mar)</w:t>
            </w:r>
          </w:p>
        </w:tc>
        <w:tc>
          <w:tcPr>
            <w:tcW w:w="1769" w:type="pct"/>
            <w:vMerge/>
            <w:vAlign w:val="center"/>
          </w:tcPr>
          <w:p w14:paraId="41A664F0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6FBB61AA" w14:textId="77777777" w:rsidTr="006B1C6F">
        <w:trPr>
          <w:trHeight w:hRule="exact" w:val="286"/>
          <w:jc w:val="center"/>
        </w:trPr>
        <w:tc>
          <w:tcPr>
            <w:tcW w:w="1273" w:type="pct"/>
            <w:vMerge w:val="restart"/>
            <w:shd w:val="clear" w:color="auto" w:fill="auto"/>
            <w:vAlign w:val="center"/>
            <w:hideMark/>
          </w:tcPr>
          <w:p w14:paraId="3B22C563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Capacidade de promoção de cooperação e envolvimento de outras entidades/instituições</w:t>
            </w:r>
          </w:p>
        </w:tc>
        <w:tc>
          <w:tcPr>
            <w:tcW w:w="292" w:type="pct"/>
            <w:vMerge w:val="restart"/>
            <w:shd w:val="clear" w:color="auto" w:fill="auto"/>
            <w:vAlign w:val="center"/>
            <w:hideMark/>
          </w:tcPr>
          <w:p w14:paraId="3FFB3A10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15%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23EF3C26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2BE34A7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Não existe cooperação </w:t>
            </w:r>
          </w:p>
        </w:tc>
        <w:tc>
          <w:tcPr>
            <w:tcW w:w="1769" w:type="pct"/>
            <w:vMerge w:val="restart"/>
            <w:vAlign w:val="center"/>
          </w:tcPr>
          <w:p w14:paraId="49AC3D60" w14:textId="77777777" w:rsidR="00725266" w:rsidRPr="00F02E71" w:rsidRDefault="00725266" w:rsidP="00E0730C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envolvam parceiros, sendo mais valorizadas as ações que envolvam parceiros com responsabilidade pública nas áreas do turismo e ambiente, tirando partido do conhecimento e experiência de cada uma desses parceiros.</w:t>
            </w:r>
          </w:p>
        </w:tc>
      </w:tr>
      <w:tr w:rsidR="00544616" w:rsidRPr="00B917A0" w14:paraId="4BE81B36" w14:textId="77777777" w:rsidTr="006E51E5">
        <w:trPr>
          <w:trHeight w:hRule="exact" w:val="483"/>
          <w:jc w:val="center"/>
        </w:trPr>
        <w:tc>
          <w:tcPr>
            <w:tcW w:w="1273" w:type="pct"/>
            <w:vMerge/>
            <w:shd w:val="clear" w:color="auto" w:fill="auto"/>
            <w:vAlign w:val="center"/>
          </w:tcPr>
          <w:p w14:paraId="029EB624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</w:tcPr>
          <w:p w14:paraId="1DBE2E77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</w:tcPr>
          <w:p w14:paraId="2409453B" w14:textId="77777777" w:rsidR="00072AD0" w:rsidRPr="00B917A0" w:rsidRDefault="00072AD0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447" w:type="pct"/>
            <w:shd w:val="clear" w:color="auto" w:fill="auto"/>
            <w:noWrap/>
            <w:vAlign w:val="center"/>
          </w:tcPr>
          <w:p w14:paraId="12B1A32E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Promove o envolvimento de entidades no projeto (parcerias) </w:t>
            </w:r>
          </w:p>
        </w:tc>
        <w:tc>
          <w:tcPr>
            <w:tcW w:w="1769" w:type="pct"/>
            <w:vMerge/>
            <w:vAlign w:val="center"/>
          </w:tcPr>
          <w:p w14:paraId="43CDDEC6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544616" w:rsidRPr="00B917A0" w14:paraId="317E7C5A" w14:textId="77777777" w:rsidTr="006B1C6F">
        <w:trPr>
          <w:trHeight w:hRule="exact" w:val="861"/>
          <w:jc w:val="center"/>
        </w:trPr>
        <w:tc>
          <w:tcPr>
            <w:tcW w:w="1273" w:type="pct"/>
            <w:vMerge/>
            <w:shd w:val="clear" w:color="auto" w:fill="auto"/>
            <w:vAlign w:val="center"/>
            <w:hideMark/>
          </w:tcPr>
          <w:p w14:paraId="2268B2D2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92" w:type="pct"/>
            <w:vMerge/>
            <w:shd w:val="clear" w:color="auto" w:fill="auto"/>
            <w:vAlign w:val="center"/>
            <w:hideMark/>
          </w:tcPr>
          <w:p w14:paraId="25A0F1B7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auto"/>
            <w:vAlign w:val="center"/>
            <w:hideMark/>
          </w:tcPr>
          <w:p w14:paraId="2A65C1A3" w14:textId="77777777" w:rsidR="00072AD0" w:rsidRPr="00B917A0" w:rsidRDefault="00072AD0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C474FB">
              <w:rPr>
                <w:rFonts w:ascii="Microsoft Sans Serif" w:hAnsi="Microsoft Sans Serif" w:cs="Microsoft Sans Serif"/>
                <w:sz w:val="16"/>
                <w:szCs w:val="16"/>
                <w:highlight w:val="yellow"/>
              </w:rPr>
              <w:t>20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1CC260FC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Promove o envolvimento de entidades com responsabilidade pública nas áreas do turismo e ambiente</w:t>
            </w:r>
          </w:p>
        </w:tc>
        <w:tc>
          <w:tcPr>
            <w:tcW w:w="1769" w:type="pct"/>
            <w:vMerge/>
            <w:vAlign w:val="center"/>
          </w:tcPr>
          <w:p w14:paraId="680F640F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14:paraId="5C75478F" w14:textId="77777777" w:rsidR="00CA7AEA" w:rsidRPr="007C476C" w:rsidRDefault="00CA7AEA" w:rsidP="005442F8">
      <w:pPr>
        <w:pStyle w:val="PORAMNormal"/>
        <w:spacing w:before="120" w:after="120"/>
        <w:ind w:left="-567"/>
      </w:pPr>
    </w:p>
    <w:sectPr w:rsidR="00CA7AEA" w:rsidRPr="007C476C" w:rsidSect="00E20AC7">
      <w:pgSz w:w="11906" w:h="16838"/>
      <w:pgMar w:top="1417" w:right="1701" w:bottom="1417" w:left="1701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EUAlbertina-Italic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CNDH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7162"/>
    <w:multiLevelType w:val="hybridMultilevel"/>
    <w:tmpl w:val="A03EFB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0347"/>
    <w:multiLevelType w:val="hybridMultilevel"/>
    <w:tmpl w:val="F512764C"/>
    <w:lvl w:ilvl="0" w:tplc="890C3578">
      <w:start w:val="1"/>
      <w:numFmt w:val="bullet"/>
      <w:pStyle w:val="RelNormal2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674621"/>
      </w:rPr>
    </w:lvl>
    <w:lvl w:ilvl="1" w:tplc="0816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D0329F8"/>
    <w:multiLevelType w:val="hybridMultilevel"/>
    <w:tmpl w:val="6A5E305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8370F07"/>
    <w:multiLevelType w:val="hybridMultilevel"/>
    <w:tmpl w:val="44F01434"/>
    <w:lvl w:ilvl="0" w:tplc="157ECE1A">
      <w:start w:val="1"/>
      <w:numFmt w:val="bullet"/>
      <w:pStyle w:val="DiagnosticoNormalTitulo2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67287"/>
    <w:multiLevelType w:val="hybridMultilevel"/>
    <w:tmpl w:val="B4CA174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42ADB"/>
    <w:multiLevelType w:val="hybridMultilevel"/>
    <w:tmpl w:val="C1EE6A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C23CA"/>
    <w:multiLevelType w:val="hybridMultilevel"/>
    <w:tmpl w:val="0C5A1FBA"/>
    <w:lvl w:ilvl="0" w:tplc="4A9832EC">
      <w:start w:val="1"/>
      <w:numFmt w:val="bullet"/>
      <w:pStyle w:val="PORAMNormal3"/>
      <w:lvlText w:val="-"/>
      <w:lvlJc w:val="left"/>
      <w:pPr>
        <w:ind w:left="1267" w:hanging="360"/>
      </w:pPr>
      <w:rPr>
        <w:rFonts w:ascii="Calibri" w:hAnsi="Calibri" w:hint="default"/>
        <w:color w:val="0065B7"/>
      </w:rPr>
    </w:lvl>
    <w:lvl w:ilvl="1" w:tplc="08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BA736C9"/>
    <w:multiLevelType w:val="singleLevel"/>
    <w:tmpl w:val="9BD81856"/>
    <w:name w:val="8,972824E-02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 w15:restartNumberingAfterBreak="0">
    <w:nsid w:val="54BD0BEC"/>
    <w:multiLevelType w:val="singleLevel"/>
    <w:tmpl w:val="72D6F376"/>
    <w:lvl w:ilvl="0">
      <w:start w:val="1"/>
      <w:numFmt w:val="bullet"/>
      <w:pStyle w:val="Listacommarcas"/>
      <w:lvlText w:val=""/>
      <w:lvlJc w:val="left"/>
      <w:pPr>
        <w:tabs>
          <w:tab w:val="num" w:pos="3828"/>
        </w:tabs>
        <w:ind w:left="3828" w:hanging="283"/>
      </w:pPr>
      <w:rPr>
        <w:rFonts w:ascii="Symbol" w:hAnsi="Symbol"/>
      </w:rPr>
    </w:lvl>
  </w:abstractNum>
  <w:abstractNum w:abstractNumId="10" w15:restartNumberingAfterBreak="0">
    <w:nsid w:val="5A176C95"/>
    <w:multiLevelType w:val="hybridMultilevel"/>
    <w:tmpl w:val="C63EE838"/>
    <w:lvl w:ilvl="0" w:tplc="08160005">
      <w:start w:val="1"/>
      <w:numFmt w:val="bullet"/>
      <w:pStyle w:val="IntNormal2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63AA668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30500C1"/>
    <w:multiLevelType w:val="hybridMultilevel"/>
    <w:tmpl w:val="311A1EEC"/>
    <w:lvl w:ilvl="0" w:tplc="D092EF8E">
      <w:start w:val="1"/>
      <w:numFmt w:val="bullet"/>
      <w:pStyle w:val="PargrafodaLista"/>
      <w:lvlText w:val=""/>
      <w:lvlJc w:val="left"/>
      <w:pPr>
        <w:ind w:left="3905" w:hanging="360"/>
      </w:pPr>
      <w:rPr>
        <w:rFonts w:ascii="Symbol" w:hAnsi="Symbol" w:hint="default"/>
        <w:color w:val="1F497D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106069"/>
    <w:multiLevelType w:val="hybridMultilevel"/>
    <w:tmpl w:val="523C16AA"/>
    <w:lvl w:ilvl="0" w:tplc="0816000F">
      <w:start w:val="1"/>
      <w:numFmt w:val="lowerLetter"/>
      <w:pStyle w:val="Estilo4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4F71A0"/>
    <w:multiLevelType w:val="hybridMultilevel"/>
    <w:tmpl w:val="6E06568E"/>
    <w:lvl w:ilvl="0" w:tplc="F8B8554E">
      <w:start w:val="1"/>
      <w:numFmt w:val="bullet"/>
      <w:pStyle w:val="PORAMNormal2"/>
      <w:lvlText w:val=""/>
      <w:lvlJc w:val="left"/>
      <w:pPr>
        <w:ind w:left="360" w:hanging="360"/>
      </w:pPr>
      <w:rPr>
        <w:rFonts w:ascii="Symbol" w:hAnsi="Symbol" w:hint="default"/>
        <w:color w:val="0065B7"/>
        <w:sz w:val="22"/>
        <w:szCs w:val="22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38740A"/>
    <w:multiLevelType w:val="multilevel"/>
    <w:tmpl w:val="C8A0547E"/>
    <w:lvl w:ilvl="0">
      <w:start w:val="1"/>
      <w:numFmt w:val="decimal"/>
      <w:pStyle w:val="Rel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674621"/>
      </w:rPr>
    </w:lvl>
    <w:lvl w:ilvl="1">
      <w:start w:val="1"/>
      <w:numFmt w:val="decimal"/>
      <w:pStyle w:val="RelTtulo2"/>
      <w:lvlText w:val="%1.%2."/>
      <w:lvlJc w:val="left"/>
      <w:pPr>
        <w:tabs>
          <w:tab w:val="num" w:pos="434"/>
        </w:tabs>
        <w:ind w:left="349" w:hanging="349"/>
      </w:pPr>
      <w:rPr>
        <w:rFonts w:hint="default"/>
        <w:color w:val="674621"/>
      </w:rPr>
    </w:lvl>
    <w:lvl w:ilvl="2">
      <w:start w:val="1"/>
      <w:numFmt w:val="decimal"/>
      <w:pStyle w:val="RelTtulo3"/>
      <w:lvlText w:val="%1.%2.%3."/>
      <w:lvlJc w:val="left"/>
      <w:pPr>
        <w:tabs>
          <w:tab w:val="num" w:pos="1181"/>
        </w:tabs>
        <w:ind w:left="10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5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140" w:hanging="1440"/>
      </w:pPr>
      <w:rPr>
        <w:rFonts w:hint="default"/>
      </w:rPr>
    </w:lvl>
  </w:abstractNum>
  <w:abstractNum w:abstractNumId="15" w15:restartNumberingAfterBreak="0">
    <w:nsid w:val="7BC44FDE"/>
    <w:multiLevelType w:val="hybridMultilevel"/>
    <w:tmpl w:val="8EC6AB76"/>
    <w:lvl w:ilvl="0" w:tplc="EEB09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160019">
      <w:start w:val="1"/>
      <w:numFmt w:val="bullet"/>
      <w:pStyle w:val="SGCNormalM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DE0AD2"/>
    <w:multiLevelType w:val="hybridMultilevel"/>
    <w:tmpl w:val="E3CA56F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12"/>
  </w:num>
  <w:num w:numId="12">
    <w:abstractNumId w:val="10"/>
  </w:num>
  <w:num w:numId="13">
    <w:abstractNumId w:val="0"/>
  </w:num>
  <w:num w:numId="14">
    <w:abstractNumId w:val="5"/>
  </w:num>
  <w:num w:numId="15">
    <w:abstractNumId w:val="16"/>
  </w:num>
  <w:num w:numId="16">
    <w:abstractNumId w:val="6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76C"/>
    <w:rsid w:val="00021CC2"/>
    <w:rsid w:val="000222EA"/>
    <w:rsid w:val="00051C88"/>
    <w:rsid w:val="00063E4B"/>
    <w:rsid w:val="00072AD0"/>
    <w:rsid w:val="00075360"/>
    <w:rsid w:val="000756E8"/>
    <w:rsid w:val="00085953"/>
    <w:rsid w:val="000A294D"/>
    <w:rsid w:val="000B01F8"/>
    <w:rsid w:val="000B08AE"/>
    <w:rsid w:val="000B4A40"/>
    <w:rsid w:val="000B77CD"/>
    <w:rsid w:val="000C3CC7"/>
    <w:rsid w:val="000D34FD"/>
    <w:rsid w:val="000D3941"/>
    <w:rsid w:val="000E0FF4"/>
    <w:rsid w:val="000E1128"/>
    <w:rsid w:val="000E367A"/>
    <w:rsid w:val="000F453C"/>
    <w:rsid w:val="000F70CC"/>
    <w:rsid w:val="001100B3"/>
    <w:rsid w:val="00115152"/>
    <w:rsid w:val="0012339B"/>
    <w:rsid w:val="00131752"/>
    <w:rsid w:val="00140370"/>
    <w:rsid w:val="0015512B"/>
    <w:rsid w:val="00160731"/>
    <w:rsid w:val="00174343"/>
    <w:rsid w:val="00185C9B"/>
    <w:rsid w:val="001A782A"/>
    <w:rsid w:val="001B6BB7"/>
    <w:rsid w:val="001B7962"/>
    <w:rsid w:val="001C34E9"/>
    <w:rsid w:val="001D34A6"/>
    <w:rsid w:val="001E16E3"/>
    <w:rsid w:val="001E2EA9"/>
    <w:rsid w:val="001E5773"/>
    <w:rsid w:val="001E6C0F"/>
    <w:rsid w:val="001F0BBC"/>
    <w:rsid w:val="001F4FA6"/>
    <w:rsid w:val="001F5D76"/>
    <w:rsid w:val="00214751"/>
    <w:rsid w:val="002164ED"/>
    <w:rsid w:val="00221A9B"/>
    <w:rsid w:val="00234467"/>
    <w:rsid w:val="00235E33"/>
    <w:rsid w:val="002520A5"/>
    <w:rsid w:val="00261E4F"/>
    <w:rsid w:val="00262A0D"/>
    <w:rsid w:val="00275071"/>
    <w:rsid w:val="00277F4A"/>
    <w:rsid w:val="00281853"/>
    <w:rsid w:val="002904D1"/>
    <w:rsid w:val="00292B57"/>
    <w:rsid w:val="002A1306"/>
    <w:rsid w:val="002A2B6C"/>
    <w:rsid w:val="002D22AE"/>
    <w:rsid w:val="002E258E"/>
    <w:rsid w:val="002E5015"/>
    <w:rsid w:val="002F6ED1"/>
    <w:rsid w:val="00303864"/>
    <w:rsid w:val="0030492F"/>
    <w:rsid w:val="00313A08"/>
    <w:rsid w:val="00314AE1"/>
    <w:rsid w:val="00335560"/>
    <w:rsid w:val="0034075A"/>
    <w:rsid w:val="00342A86"/>
    <w:rsid w:val="00343D2B"/>
    <w:rsid w:val="0036000C"/>
    <w:rsid w:val="00366FF4"/>
    <w:rsid w:val="003903AA"/>
    <w:rsid w:val="00391C0A"/>
    <w:rsid w:val="003A0EE3"/>
    <w:rsid w:val="003A2845"/>
    <w:rsid w:val="003A6597"/>
    <w:rsid w:val="003A6C48"/>
    <w:rsid w:val="003B2F70"/>
    <w:rsid w:val="003C18DD"/>
    <w:rsid w:val="003C6259"/>
    <w:rsid w:val="003E6A85"/>
    <w:rsid w:val="003F133D"/>
    <w:rsid w:val="003F5D7C"/>
    <w:rsid w:val="004147DE"/>
    <w:rsid w:val="00431DB0"/>
    <w:rsid w:val="00435813"/>
    <w:rsid w:val="004362B1"/>
    <w:rsid w:val="00437C11"/>
    <w:rsid w:val="00442F08"/>
    <w:rsid w:val="0044667F"/>
    <w:rsid w:val="004467FA"/>
    <w:rsid w:val="00452F2D"/>
    <w:rsid w:val="00473E52"/>
    <w:rsid w:val="00483C25"/>
    <w:rsid w:val="00485F5F"/>
    <w:rsid w:val="00487BDA"/>
    <w:rsid w:val="00487D1E"/>
    <w:rsid w:val="00494797"/>
    <w:rsid w:val="004C15A3"/>
    <w:rsid w:val="004F37D2"/>
    <w:rsid w:val="00506C92"/>
    <w:rsid w:val="005303B4"/>
    <w:rsid w:val="005309A1"/>
    <w:rsid w:val="00533885"/>
    <w:rsid w:val="005346F8"/>
    <w:rsid w:val="00535E0D"/>
    <w:rsid w:val="00541B8B"/>
    <w:rsid w:val="0054255B"/>
    <w:rsid w:val="005442F8"/>
    <w:rsid w:val="00544616"/>
    <w:rsid w:val="00550AAA"/>
    <w:rsid w:val="005558E3"/>
    <w:rsid w:val="0057667E"/>
    <w:rsid w:val="00577912"/>
    <w:rsid w:val="00585F3B"/>
    <w:rsid w:val="005C53B0"/>
    <w:rsid w:val="005C5FB8"/>
    <w:rsid w:val="005C6D33"/>
    <w:rsid w:val="005D0ECE"/>
    <w:rsid w:val="005D1F8B"/>
    <w:rsid w:val="005F0C27"/>
    <w:rsid w:val="00620333"/>
    <w:rsid w:val="0062328B"/>
    <w:rsid w:val="00643F52"/>
    <w:rsid w:val="0064770C"/>
    <w:rsid w:val="00650D30"/>
    <w:rsid w:val="00652CD6"/>
    <w:rsid w:val="00677DBD"/>
    <w:rsid w:val="00680E85"/>
    <w:rsid w:val="006929BA"/>
    <w:rsid w:val="00694153"/>
    <w:rsid w:val="006A6232"/>
    <w:rsid w:val="006B1C6F"/>
    <w:rsid w:val="006B79C8"/>
    <w:rsid w:val="006C10E1"/>
    <w:rsid w:val="006C2A2D"/>
    <w:rsid w:val="006D0342"/>
    <w:rsid w:val="006D2BF9"/>
    <w:rsid w:val="006E36B7"/>
    <w:rsid w:val="006E51E5"/>
    <w:rsid w:val="006E7004"/>
    <w:rsid w:val="006F4A7C"/>
    <w:rsid w:val="006F6BA0"/>
    <w:rsid w:val="0070241D"/>
    <w:rsid w:val="00704D9A"/>
    <w:rsid w:val="007060C7"/>
    <w:rsid w:val="00725266"/>
    <w:rsid w:val="00753DD8"/>
    <w:rsid w:val="0077409C"/>
    <w:rsid w:val="00774F28"/>
    <w:rsid w:val="0078480D"/>
    <w:rsid w:val="00786A66"/>
    <w:rsid w:val="007872FE"/>
    <w:rsid w:val="007A4F37"/>
    <w:rsid w:val="007B1E43"/>
    <w:rsid w:val="007B4830"/>
    <w:rsid w:val="007C476C"/>
    <w:rsid w:val="007D0224"/>
    <w:rsid w:val="007E619B"/>
    <w:rsid w:val="007E6281"/>
    <w:rsid w:val="007E74A6"/>
    <w:rsid w:val="0081289E"/>
    <w:rsid w:val="00815F6F"/>
    <w:rsid w:val="0082170C"/>
    <w:rsid w:val="0083281B"/>
    <w:rsid w:val="008420C1"/>
    <w:rsid w:val="008836E2"/>
    <w:rsid w:val="00891B47"/>
    <w:rsid w:val="00897271"/>
    <w:rsid w:val="008A0C7F"/>
    <w:rsid w:val="008B23D5"/>
    <w:rsid w:val="008B37F2"/>
    <w:rsid w:val="008E15AD"/>
    <w:rsid w:val="008E533B"/>
    <w:rsid w:val="00911579"/>
    <w:rsid w:val="00911BDE"/>
    <w:rsid w:val="009213AD"/>
    <w:rsid w:val="00923EE0"/>
    <w:rsid w:val="00932FE1"/>
    <w:rsid w:val="00936F0A"/>
    <w:rsid w:val="00940616"/>
    <w:rsid w:val="00940F86"/>
    <w:rsid w:val="00947445"/>
    <w:rsid w:val="00953281"/>
    <w:rsid w:val="00954B0A"/>
    <w:rsid w:val="00954F75"/>
    <w:rsid w:val="009B3A63"/>
    <w:rsid w:val="009E1AF9"/>
    <w:rsid w:val="009F0EF9"/>
    <w:rsid w:val="009F3ACA"/>
    <w:rsid w:val="00A30137"/>
    <w:rsid w:val="00A313A3"/>
    <w:rsid w:val="00A501F4"/>
    <w:rsid w:val="00A53746"/>
    <w:rsid w:val="00A5476D"/>
    <w:rsid w:val="00A56F73"/>
    <w:rsid w:val="00A600BE"/>
    <w:rsid w:val="00A67EFC"/>
    <w:rsid w:val="00A71998"/>
    <w:rsid w:val="00A735E4"/>
    <w:rsid w:val="00A76EAF"/>
    <w:rsid w:val="00A80D14"/>
    <w:rsid w:val="00A97378"/>
    <w:rsid w:val="00AB758E"/>
    <w:rsid w:val="00AD404D"/>
    <w:rsid w:val="00AD7962"/>
    <w:rsid w:val="00AE595F"/>
    <w:rsid w:val="00AF10FC"/>
    <w:rsid w:val="00AF59F3"/>
    <w:rsid w:val="00B045D3"/>
    <w:rsid w:val="00B125C4"/>
    <w:rsid w:val="00B3390D"/>
    <w:rsid w:val="00B360C1"/>
    <w:rsid w:val="00B460AB"/>
    <w:rsid w:val="00B64687"/>
    <w:rsid w:val="00B72CFC"/>
    <w:rsid w:val="00B73DA5"/>
    <w:rsid w:val="00B8507D"/>
    <w:rsid w:val="00B905F3"/>
    <w:rsid w:val="00B96C8D"/>
    <w:rsid w:val="00BA2FBB"/>
    <w:rsid w:val="00BA5DF2"/>
    <w:rsid w:val="00BA7A5C"/>
    <w:rsid w:val="00BB6122"/>
    <w:rsid w:val="00BE20D3"/>
    <w:rsid w:val="00BE27D4"/>
    <w:rsid w:val="00BF5851"/>
    <w:rsid w:val="00BF7508"/>
    <w:rsid w:val="00C00316"/>
    <w:rsid w:val="00C0257E"/>
    <w:rsid w:val="00C06418"/>
    <w:rsid w:val="00C23FBF"/>
    <w:rsid w:val="00C2543F"/>
    <w:rsid w:val="00C35A6E"/>
    <w:rsid w:val="00C369DA"/>
    <w:rsid w:val="00C474FB"/>
    <w:rsid w:val="00C47D5D"/>
    <w:rsid w:val="00C52A36"/>
    <w:rsid w:val="00C65D7B"/>
    <w:rsid w:val="00C72D4B"/>
    <w:rsid w:val="00C73470"/>
    <w:rsid w:val="00C7357A"/>
    <w:rsid w:val="00C74015"/>
    <w:rsid w:val="00C7719C"/>
    <w:rsid w:val="00C86496"/>
    <w:rsid w:val="00CA26AC"/>
    <w:rsid w:val="00CA2D71"/>
    <w:rsid w:val="00CA7AEA"/>
    <w:rsid w:val="00CC5A81"/>
    <w:rsid w:val="00CD537C"/>
    <w:rsid w:val="00CD7277"/>
    <w:rsid w:val="00CE40BA"/>
    <w:rsid w:val="00CE6607"/>
    <w:rsid w:val="00D12FC1"/>
    <w:rsid w:val="00D1757D"/>
    <w:rsid w:val="00D323B8"/>
    <w:rsid w:val="00D35C9E"/>
    <w:rsid w:val="00D37DBF"/>
    <w:rsid w:val="00D41879"/>
    <w:rsid w:val="00D423ED"/>
    <w:rsid w:val="00D44B01"/>
    <w:rsid w:val="00D50052"/>
    <w:rsid w:val="00D612BB"/>
    <w:rsid w:val="00D67AC5"/>
    <w:rsid w:val="00D75466"/>
    <w:rsid w:val="00D86165"/>
    <w:rsid w:val="00DC3D0D"/>
    <w:rsid w:val="00DD4356"/>
    <w:rsid w:val="00DF54F4"/>
    <w:rsid w:val="00E0730C"/>
    <w:rsid w:val="00E2033C"/>
    <w:rsid w:val="00E20AC7"/>
    <w:rsid w:val="00E20C5F"/>
    <w:rsid w:val="00E2520C"/>
    <w:rsid w:val="00E33797"/>
    <w:rsid w:val="00E551FB"/>
    <w:rsid w:val="00E56A6A"/>
    <w:rsid w:val="00E80DAE"/>
    <w:rsid w:val="00EA666F"/>
    <w:rsid w:val="00EC34EF"/>
    <w:rsid w:val="00EC59E6"/>
    <w:rsid w:val="00ED2ADF"/>
    <w:rsid w:val="00ED2DC7"/>
    <w:rsid w:val="00EF3995"/>
    <w:rsid w:val="00EF623B"/>
    <w:rsid w:val="00F02ADF"/>
    <w:rsid w:val="00F03D27"/>
    <w:rsid w:val="00F11B1F"/>
    <w:rsid w:val="00F31AE7"/>
    <w:rsid w:val="00F361F6"/>
    <w:rsid w:val="00F45811"/>
    <w:rsid w:val="00F54F28"/>
    <w:rsid w:val="00F74728"/>
    <w:rsid w:val="00F90A73"/>
    <w:rsid w:val="00F95B40"/>
    <w:rsid w:val="00F97D25"/>
    <w:rsid w:val="00FA2263"/>
    <w:rsid w:val="00FB61B7"/>
    <w:rsid w:val="00FD07D4"/>
    <w:rsid w:val="00FD311F"/>
    <w:rsid w:val="00FD5CB0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002B4"/>
  <w15:docId w15:val="{27A50805-A2DE-472B-AF6A-D7C66BB3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tulo1">
    <w:name w:val="heading 1"/>
    <w:basedOn w:val="Normal"/>
    <w:next w:val="Normal"/>
    <w:link w:val="Ttulo1Car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Ttulo4">
    <w:name w:val="heading 4"/>
    <w:basedOn w:val="Normal"/>
    <w:next w:val="Normal"/>
    <w:link w:val="Ttulo4Car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Ttulo5">
    <w:name w:val="heading 5"/>
    <w:basedOn w:val="Normal"/>
    <w:next w:val="Normal"/>
    <w:link w:val="Ttulo5Car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Ttulo6">
    <w:name w:val="heading 6"/>
    <w:basedOn w:val="Normal"/>
    <w:next w:val="Normal"/>
    <w:link w:val="Ttulo6Car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Ttulo8">
    <w:name w:val="heading 8"/>
    <w:basedOn w:val="Normal"/>
    <w:next w:val="Normal"/>
    <w:link w:val="Ttulo8Car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Ttulo9">
    <w:name w:val="heading 9"/>
    <w:basedOn w:val="Normal"/>
    <w:next w:val="Normal"/>
    <w:link w:val="Ttulo9Car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Ttulo2Carter">
    <w:name w:val="Título 2 Caráter"/>
    <w:basedOn w:val="Tipodeletrapredefinidodopargrafo"/>
    <w:link w:val="Ttul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Ttulo3Carter">
    <w:name w:val="Título 3 Caráter"/>
    <w:basedOn w:val="Tipodeletrapredefinidodopargrafo"/>
    <w:link w:val="Ttul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Ttulo4Carter">
    <w:name w:val="Título 4 Caráter"/>
    <w:basedOn w:val="Tipodeletrapredefinidodopargrafo"/>
    <w:link w:val="Ttul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5Carter">
    <w:name w:val="Título 5 Caráter"/>
    <w:basedOn w:val="Tipodeletrapredefinidodopargrafo"/>
    <w:link w:val="Ttul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6Carter">
    <w:name w:val="Título 6 Caráter"/>
    <w:basedOn w:val="Tipodeletrapredefinidodopargrafo"/>
    <w:link w:val="Ttul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Ttulo7Carter">
    <w:name w:val="Título 7 Caráter"/>
    <w:basedOn w:val="Tipodeletrapredefinidodopargrafo"/>
    <w:link w:val="Ttul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Ttulo8Carter">
    <w:name w:val="Título 8 Caráter"/>
    <w:basedOn w:val="Tipodeletrapredefinidodopargrafo"/>
    <w:link w:val="Ttul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9Carter">
    <w:name w:val="Título 9 Caráter"/>
    <w:basedOn w:val="Tipodeletrapredefinidodopargrafo"/>
    <w:link w:val="Ttul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1">
    <w:name w:val="Título 11"/>
    <w:aliases w:val="heading 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1">
    <w:name w:val="Título 21"/>
    <w:aliases w:val="heading 2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1">
    <w:name w:val="Título 31"/>
    <w:aliases w:val="heading 3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1">
    <w:name w:val="Título 61"/>
    <w:aliases w:val="heading 6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ter"/>
    <w:rsid w:val="007C476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ter1"/>
    <w:rsid w:val="007C476C"/>
    <w:pPr>
      <w:tabs>
        <w:tab w:val="center" w:pos="4252"/>
        <w:tab w:val="right" w:pos="8504"/>
      </w:tabs>
    </w:pPr>
  </w:style>
  <w:style w:type="character" w:customStyle="1" w:styleId="RodapCarter1">
    <w:name w:val="Rodapé Caráter1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ter">
    <w:name w:val="Título Cará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ter"/>
    <w:rsid w:val="007C476C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ter">
    <w:name w:val="Texto simples Cará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ter">
    <w:name w:val="Subtítulo Caráter"/>
    <w:aliases w:val="Corrigido Cará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ter"/>
    <w:rsid w:val="007C476C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1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1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ter">
    <w:name w:val="Avanço de corpo de texto 2 Cará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ter"/>
    <w:rsid w:val="007C476C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ter"/>
    <w:rsid w:val="007C476C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1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1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1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ter"/>
    <w:rsid w:val="007C476C"/>
    <w:rPr>
      <w:sz w:val="20"/>
      <w:szCs w:val="20"/>
      <w:lang w:val="fr-BE" w:eastAsia="en-GB"/>
    </w:rPr>
  </w:style>
  <w:style w:type="character" w:customStyle="1" w:styleId="TextodenotaderodapCarter">
    <w:name w:val="Texto de nota de rodapé Cará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semiHidden/>
    <w:rsid w:val="007C476C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ter">
    <w:name w:val="Sem Espaçamento Cará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Cabealhodondice">
    <w:name w:val="TOC Heading"/>
    <w:basedOn w:val="Ttul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Ttul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Ttul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Ttul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Ttul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Ttul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Ttul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Ttul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Ttul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ter"/>
    <w:rsid w:val="007C476C"/>
    <w:pPr>
      <w:spacing w:after="120"/>
      <w:ind w:left="283"/>
    </w:pPr>
  </w:style>
  <w:style w:type="character" w:customStyle="1" w:styleId="AvanodecorpodetextoCarter">
    <w:name w:val="Avanço de corpo de texto Cará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Ttul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Ttul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Ttul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Ttul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Ttul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ter"/>
    <w:rsid w:val="007C476C"/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111B-98D7-476A-88D6-5B8B7B26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664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Ricardo Figueira</cp:lastModifiedBy>
  <cp:revision>3</cp:revision>
  <cp:lastPrinted>2017-03-15T12:17:00Z</cp:lastPrinted>
  <dcterms:created xsi:type="dcterms:W3CDTF">2022-03-08T15:18:00Z</dcterms:created>
  <dcterms:modified xsi:type="dcterms:W3CDTF">2022-03-08T15:19:00Z</dcterms:modified>
</cp:coreProperties>
</file>