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E98B19" w14:textId="0B455EB9" w:rsidR="002E1100" w:rsidRDefault="002E1100" w:rsidP="002E1100">
      <w:pPr>
        <w:pStyle w:val="Ttulo1"/>
        <w:jc w:val="center"/>
        <w:rPr>
          <w:rFonts w:ascii="Calibri Light" w:hAnsi="Calibri Light"/>
          <w:bCs w:val="0"/>
          <w:color w:val="auto"/>
          <w:sz w:val="22"/>
          <w:szCs w:val="22"/>
        </w:rPr>
      </w:pPr>
      <w:r w:rsidRPr="004235DD">
        <w:rPr>
          <w:rFonts w:ascii="Calibri Light" w:hAnsi="Calibri Light"/>
          <w:bCs w:val="0"/>
          <w:color w:val="auto"/>
          <w:sz w:val="22"/>
          <w:szCs w:val="22"/>
        </w:rPr>
        <w:t>Anexo B – Referencial de Mérito</w:t>
      </w:r>
    </w:p>
    <w:p w14:paraId="7F4FA26A" w14:textId="33A403D8" w:rsidR="004235DD" w:rsidRDefault="004235DD" w:rsidP="004235DD"/>
    <w:p w14:paraId="36343F6D" w14:textId="77777777" w:rsidR="00C11FEE" w:rsidRDefault="00C11FEE" w:rsidP="0004420F">
      <w:pPr>
        <w:jc w:val="both"/>
      </w:pPr>
    </w:p>
    <w:p w14:paraId="3A2BA64A" w14:textId="7F2D5E5D" w:rsidR="004235DD" w:rsidRDefault="004235DD" w:rsidP="0004420F">
      <w:pPr>
        <w:jc w:val="both"/>
        <w:rPr>
          <w:rFonts w:asciiTheme="majorHAnsi" w:hAnsiTheme="majorHAnsi" w:cstheme="majorHAnsi"/>
          <w:sz w:val="20"/>
          <w:szCs w:val="20"/>
        </w:rPr>
      </w:pPr>
      <w:r w:rsidRPr="00C11FEE">
        <w:rPr>
          <w:rFonts w:asciiTheme="majorHAnsi" w:hAnsiTheme="majorHAnsi" w:cstheme="majorHAnsi"/>
          <w:sz w:val="20"/>
          <w:szCs w:val="20"/>
        </w:rPr>
        <w:t>O Indicador de Mérito absoluto dos projetos é determinado pelas seguintes categorias e ponderações abaixo indicadas:</w:t>
      </w:r>
    </w:p>
    <w:p w14:paraId="0A8A0069" w14:textId="77777777" w:rsidR="00CA6BB0" w:rsidRPr="00C11FEE" w:rsidRDefault="00CA6BB0" w:rsidP="0004420F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32FCA2FD" w14:textId="6F874897" w:rsidR="00C11FEE" w:rsidRPr="00CA6BB0" w:rsidRDefault="004235DD" w:rsidP="0004420F">
      <w:pPr>
        <w:pStyle w:val="PargrafodaLista"/>
        <w:numPr>
          <w:ilvl w:val="0"/>
          <w:numId w:val="2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CA6BB0">
        <w:rPr>
          <w:rFonts w:asciiTheme="majorHAnsi" w:hAnsiTheme="majorHAnsi" w:cstheme="majorHAnsi"/>
          <w:sz w:val="20"/>
          <w:szCs w:val="20"/>
        </w:rPr>
        <w:t xml:space="preserve">A - Qualidade do projeto </w:t>
      </w:r>
    </w:p>
    <w:p w14:paraId="5C8E7809" w14:textId="77777777" w:rsidR="00C11FEE" w:rsidRPr="00CA6BB0" w:rsidRDefault="004235DD" w:rsidP="0004420F">
      <w:pPr>
        <w:pStyle w:val="PargrafodaLista"/>
        <w:numPr>
          <w:ilvl w:val="0"/>
          <w:numId w:val="2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CA6BB0">
        <w:rPr>
          <w:rFonts w:asciiTheme="majorHAnsi" w:hAnsiTheme="majorHAnsi" w:cstheme="majorHAnsi"/>
          <w:sz w:val="20"/>
          <w:szCs w:val="20"/>
        </w:rPr>
        <w:t xml:space="preserve">B - Impacto em Resultados </w:t>
      </w:r>
    </w:p>
    <w:p w14:paraId="3C929BEF" w14:textId="77777777" w:rsidR="00C11FEE" w:rsidRPr="00CA6BB0" w:rsidRDefault="004235DD" w:rsidP="0004420F">
      <w:pPr>
        <w:pStyle w:val="PargrafodaLista"/>
        <w:numPr>
          <w:ilvl w:val="0"/>
          <w:numId w:val="2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CA6BB0">
        <w:rPr>
          <w:rFonts w:asciiTheme="majorHAnsi" w:hAnsiTheme="majorHAnsi" w:cstheme="majorHAnsi"/>
          <w:sz w:val="20"/>
          <w:szCs w:val="20"/>
        </w:rPr>
        <w:t>C - Coerência com a Estratégia Regional</w:t>
      </w:r>
    </w:p>
    <w:p w14:paraId="379730F0" w14:textId="26279A18" w:rsidR="004235DD" w:rsidRPr="00CA6BB0" w:rsidRDefault="004235DD" w:rsidP="0004420F">
      <w:pPr>
        <w:pStyle w:val="PargrafodaLista"/>
        <w:numPr>
          <w:ilvl w:val="0"/>
          <w:numId w:val="2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CA6BB0">
        <w:rPr>
          <w:rFonts w:asciiTheme="majorHAnsi" w:hAnsiTheme="majorHAnsi" w:cstheme="majorHAnsi"/>
          <w:sz w:val="20"/>
          <w:szCs w:val="20"/>
        </w:rPr>
        <w:t>D - Igualdade de oportunidades</w:t>
      </w:r>
    </w:p>
    <w:p w14:paraId="584F59FE" w14:textId="77777777" w:rsidR="00C11FEE" w:rsidRPr="00C11FEE" w:rsidRDefault="00C11FEE" w:rsidP="0004420F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3E3D28AD" w14:textId="773C45DA" w:rsidR="004235DD" w:rsidRPr="00CA6BB0" w:rsidRDefault="004235DD" w:rsidP="0004420F">
      <w:pPr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CA6BB0">
        <w:rPr>
          <w:rFonts w:asciiTheme="majorHAnsi" w:hAnsiTheme="majorHAnsi" w:cstheme="majorHAnsi"/>
          <w:b/>
          <w:bCs/>
          <w:sz w:val="20"/>
          <w:szCs w:val="20"/>
        </w:rPr>
        <w:t>Pontuação = 0,4 A + 0,25 B + 0,3 C+ 0,05 D</w:t>
      </w:r>
    </w:p>
    <w:p w14:paraId="5E50C191" w14:textId="77777777" w:rsidR="00C11FEE" w:rsidRPr="00C11FEE" w:rsidRDefault="00C11FEE" w:rsidP="0004420F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4B4E453F" w14:textId="2C25EC9E" w:rsidR="004235DD" w:rsidRDefault="004235DD" w:rsidP="0004420F">
      <w:pPr>
        <w:jc w:val="both"/>
        <w:rPr>
          <w:rFonts w:asciiTheme="majorHAnsi" w:hAnsiTheme="majorHAnsi" w:cstheme="majorHAnsi"/>
          <w:sz w:val="20"/>
          <w:szCs w:val="20"/>
        </w:rPr>
      </w:pPr>
      <w:r w:rsidRPr="00C11FEE">
        <w:rPr>
          <w:rFonts w:asciiTheme="majorHAnsi" w:hAnsiTheme="majorHAnsi" w:cstheme="majorHAnsi"/>
          <w:sz w:val="20"/>
          <w:szCs w:val="20"/>
        </w:rPr>
        <w:t>A pontuação em cada uma das categorias é determinada segundo as regras, os critérios e dimensões de análise identificados nos quadros seguintes:</w:t>
      </w:r>
    </w:p>
    <w:p w14:paraId="45F33A65" w14:textId="77777777" w:rsidR="00CA6BB0" w:rsidRDefault="00CA6BB0" w:rsidP="0004420F">
      <w:pPr>
        <w:jc w:val="both"/>
        <w:rPr>
          <w:rFonts w:asciiTheme="majorHAnsi" w:hAnsiTheme="majorHAnsi" w:cstheme="majorHAnsi"/>
          <w:sz w:val="20"/>
          <w:szCs w:val="20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C11FEE" w14:paraId="46D883F7" w14:textId="77777777" w:rsidTr="003A6B46">
        <w:trPr>
          <w:trHeight w:val="400"/>
        </w:trPr>
        <w:tc>
          <w:tcPr>
            <w:tcW w:w="8494" w:type="dxa"/>
            <w:gridSpan w:val="2"/>
            <w:shd w:val="clear" w:color="auto" w:fill="4472C4" w:themeFill="accent1"/>
            <w:vAlign w:val="center"/>
          </w:tcPr>
          <w:p w14:paraId="722D1701" w14:textId="4CF5BFC0" w:rsidR="00C11FEE" w:rsidRPr="00CA6BB0" w:rsidRDefault="00C11FEE" w:rsidP="003A6B4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3A6B4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COMPONENTE FSE - PI 9.6</w:t>
            </w:r>
          </w:p>
        </w:tc>
      </w:tr>
      <w:tr w:rsidR="00C11FEE" w14:paraId="4BF47BF6" w14:textId="77777777" w:rsidTr="00CA6BB0">
        <w:trPr>
          <w:trHeight w:val="857"/>
        </w:trPr>
        <w:tc>
          <w:tcPr>
            <w:tcW w:w="4247" w:type="dxa"/>
            <w:vAlign w:val="center"/>
          </w:tcPr>
          <w:p w14:paraId="7B4B6548" w14:textId="736A3F03" w:rsidR="00C11FEE" w:rsidRPr="00CA6BB0" w:rsidRDefault="00C11FEE" w:rsidP="0004420F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CA6BB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Escala de avaliação</w:t>
            </w:r>
          </w:p>
        </w:tc>
        <w:tc>
          <w:tcPr>
            <w:tcW w:w="4247" w:type="dxa"/>
          </w:tcPr>
          <w:p w14:paraId="0FEDC8ED" w14:textId="77777777" w:rsidR="00C11FEE" w:rsidRDefault="00C11FEE" w:rsidP="0004420F">
            <w:pPr>
              <w:pStyle w:val="PargrafodaLista"/>
              <w:numPr>
                <w:ilvl w:val="0"/>
                <w:numId w:val="1"/>
              </w:num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[&lt; 50] – Baixo;</w:t>
            </w:r>
          </w:p>
          <w:p w14:paraId="7DF44286" w14:textId="77777777" w:rsidR="00C11FEE" w:rsidRDefault="00C11FEE" w:rsidP="0004420F">
            <w:pPr>
              <w:pStyle w:val="PargrafodaLista"/>
              <w:numPr>
                <w:ilvl w:val="0"/>
                <w:numId w:val="1"/>
              </w:num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[&gt;=50 e &lt;80] – Médio;</w:t>
            </w:r>
          </w:p>
          <w:p w14:paraId="16797119" w14:textId="2EB7A17F" w:rsidR="00C11FEE" w:rsidRPr="00C11FEE" w:rsidRDefault="00C11FEE" w:rsidP="0004420F">
            <w:pPr>
              <w:pStyle w:val="PargrafodaLista"/>
              <w:numPr>
                <w:ilvl w:val="0"/>
                <w:numId w:val="1"/>
              </w:num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[&gt;=80 e &lt;=100]</w:t>
            </w:r>
            <w:r w:rsidR="00CA6BB0">
              <w:rPr>
                <w:rFonts w:asciiTheme="majorHAnsi" w:hAnsiTheme="majorHAnsi" w:cstheme="majorHAnsi"/>
                <w:sz w:val="20"/>
                <w:szCs w:val="20"/>
              </w:rPr>
              <w:t xml:space="preserve"> - Elevado</w:t>
            </w:r>
          </w:p>
        </w:tc>
      </w:tr>
      <w:tr w:rsidR="00CA6BB0" w14:paraId="0E2967BD" w14:textId="77777777" w:rsidTr="00CA6BB0">
        <w:trPr>
          <w:trHeight w:val="1392"/>
        </w:trPr>
        <w:tc>
          <w:tcPr>
            <w:tcW w:w="4247" w:type="dxa"/>
            <w:vMerge w:val="restart"/>
            <w:vAlign w:val="center"/>
          </w:tcPr>
          <w:p w14:paraId="7D4468D3" w14:textId="45A9C9D1" w:rsidR="00CA6BB0" w:rsidRPr="00CA6BB0" w:rsidRDefault="00CA6BB0" w:rsidP="0004420F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CA6BB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Regras aplicáveis</w:t>
            </w:r>
          </w:p>
        </w:tc>
        <w:tc>
          <w:tcPr>
            <w:tcW w:w="4247" w:type="dxa"/>
          </w:tcPr>
          <w:p w14:paraId="44766C66" w14:textId="168AC1A9" w:rsidR="00CA6BB0" w:rsidRDefault="00CA6BB0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>O valor obtido para cada categoria corresponde à média das pontuações obtidas nos critérios dessa categoria. Quando um critério tiver mais de uma dimensão de análise, pontua pelo valor médio obtido nas respetivas dimensões.</w:t>
            </w:r>
          </w:p>
        </w:tc>
      </w:tr>
      <w:tr w:rsidR="00CA6BB0" w14:paraId="670AF5FF" w14:textId="77777777" w:rsidTr="00CA6BB0">
        <w:trPr>
          <w:trHeight w:val="587"/>
        </w:trPr>
        <w:tc>
          <w:tcPr>
            <w:tcW w:w="4247" w:type="dxa"/>
            <w:vMerge/>
            <w:vAlign w:val="center"/>
          </w:tcPr>
          <w:p w14:paraId="657D799A" w14:textId="77777777" w:rsidR="00CA6BB0" w:rsidRPr="00CA6BB0" w:rsidRDefault="00CA6BB0" w:rsidP="0004420F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19AEEEC7" w14:textId="281D17A4" w:rsidR="00CA6BB0" w:rsidRDefault="00CA6BB0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>A classificação é estabelecida com 2 casas decimais.</w:t>
            </w:r>
          </w:p>
        </w:tc>
      </w:tr>
      <w:tr w:rsidR="00CA6BB0" w14:paraId="2F80EED6" w14:textId="77777777" w:rsidTr="00CA6BB0">
        <w:trPr>
          <w:trHeight w:val="1232"/>
        </w:trPr>
        <w:tc>
          <w:tcPr>
            <w:tcW w:w="4247" w:type="dxa"/>
            <w:vMerge/>
            <w:vAlign w:val="center"/>
          </w:tcPr>
          <w:p w14:paraId="2A8C3033" w14:textId="77777777" w:rsidR="00CA6BB0" w:rsidRPr="00CA6BB0" w:rsidRDefault="00CA6BB0" w:rsidP="0004420F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5F21D1F8" w14:textId="1734B466" w:rsidR="00CA6BB0" w:rsidRDefault="00CA6BB0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>Sempre que os elementos disponibilizados pelo beneficiário não permitam classificar de forma fundamentada um determinado critério, será atribuída a pontuação de 1.</w:t>
            </w:r>
          </w:p>
        </w:tc>
      </w:tr>
      <w:tr w:rsidR="00C11FEE" w14:paraId="34A93F12" w14:textId="77777777" w:rsidTr="00CA6BB0">
        <w:trPr>
          <w:trHeight w:val="1374"/>
        </w:trPr>
        <w:tc>
          <w:tcPr>
            <w:tcW w:w="4247" w:type="dxa"/>
            <w:vAlign w:val="center"/>
          </w:tcPr>
          <w:p w14:paraId="07C62A60" w14:textId="54F6B3FC" w:rsidR="00C11FEE" w:rsidRPr="00CA6BB0" w:rsidRDefault="00CA6BB0" w:rsidP="0004420F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CA6BB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Critérios de desempate</w:t>
            </w:r>
          </w:p>
        </w:tc>
        <w:tc>
          <w:tcPr>
            <w:tcW w:w="4247" w:type="dxa"/>
          </w:tcPr>
          <w:p w14:paraId="25722C30" w14:textId="77777777" w:rsidR="00CA6BB0" w:rsidRDefault="00C11FEE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 xml:space="preserve">Maior classificação na categoria C </w:t>
            </w:r>
          </w:p>
          <w:p w14:paraId="6DA3DD2C" w14:textId="77777777" w:rsidR="00CA6BB0" w:rsidRDefault="00C11FEE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 xml:space="preserve">Maior classificação na categoria A </w:t>
            </w:r>
          </w:p>
          <w:p w14:paraId="4BA24B0C" w14:textId="77777777" w:rsidR="00CA6BB0" w:rsidRDefault="00C11FEE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 xml:space="preserve">Maior classificação na categoria B </w:t>
            </w:r>
          </w:p>
          <w:p w14:paraId="00CDD7AF" w14:textId="77777777" w:rsidR="00CA6BB0" w:rsidRDefault="00C11FEE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 xml:space="preserve">Maior nº de PT a criar </w:t>
            </w:r>
          </w:p>
          <w:p w14:paraId="58544A0A" w14:textId="1A59C456" w:rsidR="00C11FEE" w:rsidRDefault="00C11FEE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 xml:space="preserve">Maior valor de investimento elegível </w:t>
            </w:r>
          </w:p>
        </w:tc>
      </w:tr>
      <w:tr w:rsidR="00C11FEE" w14:paraId="1E1F6B89" w14:textId="77777777" w:rsidTr="00CA6BB0">
        <w:trPr>
          <w:trHeight w:val="697"/>
        </w:trPr>
        <w:tc>
          <w:tcPr>
            <w:tcW w:w="4247" w:type="dxa"/>
            <w:vAlign w:val="center"/>
          </w:tcPr>
          <w:p w14:paraId="62FBF6B2" w14:textId="5A18BA54" w:rsidR="00C11FEE" w:rsidRPr="00CA6BB0" w:rsidRDefault="00C11FEE" w:rsidP="0004420F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CA6BB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Atribuição de Financiamento</w:t>
            </w:r>
          </w:p>
        </w:tc>
        <w:tc>
          <w:tcPr>
            <w:tcW w:w="4247" w:type="dxa"/>
          </w:tcPr>
          <w:p w14:paraId="7733ED31" w14:textId="54AABCEB" w:rsidR="00C11FEE" w:rsidRDefault="00C11FEE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>As operações que reúnam a classificação final inferior a 50 não serão objeto de financiamento</w:t>
            </w:r>
          </w:p>
        </w:tc>
      </w:tr>
    </w:tbl>
    <w:p w14:paraId="4564516A" w14:textId="6F594FFA" w:rsidR="00C11FEE" w:rsidRDefault="00C11FEE" w:rsidP="004235DD">
      <w:pPr>
        <w:rPr>
          <w:rFonts w:asciiTheme="majorHAnsi" w:hAnsiTheme="majorHAnsi" w:cstheme="majorHAnsi"/>
          <w:sz w:val="20"/>
          <w:szCs w:val="20"/>
        </w:rPr>
      </w:pPr>
    </w:p>
    <w:p w14:paraId="505E18DD" w14:textId="77777777" w:rsidR="00C11FEE" w:rsidRPr="00C11FEE" w:rsidRDefault="00C11FEE" w:rsidP="004235DD">
      <w:pPr>
        <w:rPr>
          <w:rFonts w:asciiTheme="majorHAnsi" w:hAnsiTheme="majorHAnsi" w:cstheme="majorHAnsi"/>
          <w:sz w:val="20"/>
          <w:szCs w:val="20"/>
        </w:rPr>
      </w:pPr>
    </w:p>
    <w:p w14:paraId="5BEDC850" w14:textId="416ED9EA" w:rsidR="004235DD" w:rsidRPr="00C11FEE" w:rsidRDefault="004235DD" w:rsidP="004235DD">
      <w:pPr>
        <w:rPr>
          <w:rFonts w:asciiTheme="majorHAnsi" w:hAnsiTheme="majorHAnsi" w:cstheme="majorHAnsi"/>
          <w:sz w:val="20"/>
          <w:szCs w:val="20"/>
        </w:rPr>
      </w:pPr>
      <w:r w:rsidRPr="00C11FEE">
        <w:rPr>
          <w:rFonts w:asciiTheme="majorHAnsi" w:hAnsiTheme="majorHAnsi" w:cstheme="majorHAnsi"/>
          <w:sz w:val="20"/>
          <w:szCs w:val="20"/>
        </w:rPr>
        <w:t>.</w:t>
      </w:r>
    </w:p>
    <w:p w14:paraId="19A02410" w14:textId="2F94275F" w:rsidR="004235DD" w:rsidRDefault="004235DD" w:rsidP="004235DD"/>
    <w:p w14:paraId="503B5DB3" w14:textId="77777777" w:rsidR="004235DD" w:rsidRDefault="004235DD" w:rsidP="004235DD"/>
    <w:p w14:paraId="3ED1A21F" w14:textId="3A224845" w:rsidR="004235DD" w:rsidRDefault="004235DD" w:rsidP="004235DD">
      <w:pPr>
        <w:sectPr w:rsidR="004235DD" w:rsidSect="0004420F">
          <w:headerReference w:type="default" r:id="rId8"/>
          <w:headerReference w:type="first" r:id="rId9"/>
          <w:type w:val="continuous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3D20D0D8" w14:textId="41A700AC" w:rsidR="004235DD" w:rsidRPr="004235DD" w:rsidRDefault="004235DD" w:rsidP="004235DD"/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705"/>
        <w:gridCol w:w="1307"/>
        <w:gridCol w:w="1508"/>
        <w:gridCol w:w="2665"/>
        <w:gridCol w:w="6900"/>
        <w:gridCol w:w="1303"/>
      </w:tblGrid>
      <w:tr w:rsidR="00E65F90" w:rsidRPr="00E65F90" w14:paraId="0743A9D2" w14:textId="77777777" w:rsidTr="00E65ABB">
        <w:trPr>
          <w:trHeight w:val="240"/>
        </w:trPr>
        <w:tc>
          <w:tcPr>
            <w:tcW w:w="1705" w:type="dxa"/>
            <w:shd w:val="clear" w:color="auto" w:fill="4472C4" w:themeFill="accent1"/>
            <w:noWrap/>
            <w:hideMark/>
          </w:tcPr>
          <w:p w14:paraId="3AFA3269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CATEGORIA</w:t>
            </w:r>
          </w:p>
        </w:tc>
        <w:tc>
          <w:tcPr>
            <w:tcW w:w="1307" w:type="dxa"/>
            <w:shd w:val="clear" w:color="auto" w:fill="4472C4" w:themeFill="accent1"/>
            <w:noWrap/>
            <w:hideMark/>
          </w:tcPr>
          <w:p w14:paraId="2B6CC5FB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VALORAÇÃO</w:t>
            </w:r>
          </w:p>
        </w:tc>
        <w:tc>
          <w:tcPr>
            <w:tcW w:w="1508" w:type="dxa"/>
            <w:shd w:val="clear" w:color="auto" w:fill="4472C4" w:themeFill="accent1"/>
            <w:noWrap/>
            <w:hideMark/>
          </w:tcPr>
          <w:p w14:paraId="06F3EDE0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PONDERAÇÃO</w:t>
            </w:r>
          </w:p>
        </w:tc>
        <w:tc>
          <w:tcPr>
            <w:tcW w:w="2665" w:type="dxa"/>
            <w:shd w:val="clear" w:color="auto" w:fill="4472C4" w:themeFill="accent1"/>
            <w:noWrap/>
            <w:hideMark/>
          </w:tcPr>
          <w:p w14:paraId="56F96CFC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CRITÉRIO</w:t>
            </w:r>
          </w:p>
        </w:tc>
        <w:tc>
          <w:tcPr>
            <w:tcW w:w="6900" w:type="dxa"/>
            <w:shd w:val="clear" w:color="auto" w:fill="4472C4" w:themeFill="accent1"/>
            <w:noWrap/>
            <w:hideMark/>
          </w:tcPr>
          <w:p w14:paraId="39D6EBBE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DIMENSÕES DE ANÁLISE</w:t>
            </w:r>
          </w:p>
        </w:tc>
        <w:tc>
          <w:tcPr>
            <w:tcW w:w="1303" w:type="dxa"/>
            <w:shd w:val="clear" w:color="auto" w:fill="4472C4" w:themeFill="accent1"/>
            <w:noWrap/>
            <w:hideMark/>
          </w:tcPr>
          <w:p w14:paraId="051EBCF5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PONTUAÇÃO</w:t>
            </w:r>
          </w:p>
        </w:tc>
      </w:tr>
      <w:tr w:rsidR="00E65F90" w:rsidRPr="00E65F90" w14:paraId="3AF5097F" w14:textId="77777777" w:rsidTr="00E65ABB">
        <w:trPr>
          <w:trHeight w:val="480"/>
        </w:trPr>
        <w:tc>
          <w:tcPr>
            <w:tcW w:w="1705" w:type="dxa"/>
            <w:vMerge w:val="restart"/>
            <w:shd w:val="clear" w:color="auto" w:fill="4472C4" w:themeFill="accent1"/>
            <w:textDirection w:val="btLr"/>
            <w:vAlign w:val="center"/>
            <w:hideMark/>
          </w:tcPr>
          <w:p w14:paraId="49D69436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A. QUALIDADE DO PROJETO</w:t>
            </w:r>
          </w:p>
        </w:tc>
        <w:tc>
          <w:tcPr>
            <w:tcW w:w="1307" w:type="dxa"/>
            <w:vMerge w:val="restart"/>
            <w:vAlign w:val="center"/>
            <w:hideMark/>
          </w:tcPr>
          <w:p w14:paraId="4800BAED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sz w:val="20"/>
                <w:szCs w:val="20"/>
              </w:rPr>
              <w:t>40%</w:t>
            </w:r>
          </w:p>
        </w:tc>
        <w:tc>
          <w:tcPr>
            <w:tcW w:w="1508" w:type="dxa"/>
            <w:vMerge w:val="restart"/>
            <w:vAlign w:val="center"/>
            <w:hideMark/>
          </w:tcPr>
          <w:p w14:paraId="5F0FF1BC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sz w:val="20"/>
                <w:szCs w:val="20"/>
              </w:rPr>
              <w:t>20%</w:t>
            </w:r>
          </w:p>
        </w:tc>
        <w:tc>
          <w:tcPr>
            <w:tcW w:w="2665" w:type="dxa"/>
            <w:vMerge w:val="restart"/>
            <w:vAlign w:val="center"/>
            <w:hideMark/>
          </w:tcPr>
          <w:p w14:paraId="01B998C2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A.1. Adequação e coerência das ações propostas relativamente ao diagnóstico apresentado</w:t>
            </w:r>
          </w:p>
        </w:tc>
        <w:tc>
          <w:tcPr>
            <w:tcW w:w="6900" w:type="dxa"/>
            <w:vAlign w:val="center"/>
            <w:hideMark/>
          </w:tcPr>
          <w:p w14:paraId="48260DB0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A.1.1 - Adequação da operação às necessidades</w:t>
            </w: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E65F9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Identificação das necessidades e adequação do número e função dos postos de trabalho a criar</w:t>
            </w:r>
          </w:p>
        </w:tc>
        <w:tc>
          <w:tcPr>
            <w:tcW w:w="1303" w:type="dxa"/>
            <w:noWrap/>
            <w:vAlign w:val="center"/>
            <w:hideMark/>
          </w:tcPr>
          <w:p w14:paraId="76E7F027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E65F90" w:rsidRPr="00E65F90" w14:paraId="1033D082" w14:textId="77777777" w:rsidTr="00E65ABB">
        <w:trPr>
          <w:trHeight w:val="48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657A1464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176D3691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53D32447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66239C32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7F2C1349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Pontua quando a fundamentação para a necessidade da criação dos postos de trabalho é totalmente adequada ao diagnóstico apresentado</w:t>
            </w:r>
          </w:p>
        </w:tc>
        <w:tc>
          <w:tcPr>
            <w:tcW w:w="1303" w:type="dxa"/>
            <w:noWrap/>
            <w:vAlign w:val="center"/>
            <w:hideMark/>
          </w:tcPr>
          <w:p w14:paraId="58ECD1A7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E65F90" w:rsidRPr="00E65F90" w14:paraId="780E2BFE" w14:textId="77777777" w:rsidTr="00E65ABB">
        <w:trPr>
          <w:trHeight w:val="48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2ED2C0BA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66386D92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1DD05741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5CB00A97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6893229D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Pontua quando a fundamentação para a necessidade da criação dos postos de trabalho é parcialmente adequada ao diagnóstico apresentado</w:t>
            </w:r>
          </w:p>
        </w:tc>
        <w:tc>
          <w:tcPr>
            <w:tcW w:w="1303" w:type="dxa"/>
            <w:noWrap/>
            <w:vAlign w:val="center"/>
            <w:hideMark/>
          </w:tcPr>
          <w:p w14:paraId="6FA3C01E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E65F90" w:rsidRPr="00E65F90" w14:paraId="535D640E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52BA9B18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5BDCD03E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412DC34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13A92BB9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5BFF2322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Pontua quando não existe informação que permita analisar adequadamente a pertinência da operação;</w:t>
            </w:r>
          </w:p>
        </w:tc>
        <w:tc>
          <w:tcPr>
            <w:tcW w:w="1303" w:type="dxa"/>
            <w:noWrap/>
            <w:vAlign w:val="center"/>
            <w:hideMark/>
          </w:tcPr>
          <w:p w14:paraId="65F3C1C4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E65F90" w:rsidRPr="00E65F90" w14:paraId="1B18F1EE" w14:textId="77777777" w:rsidTr="00E65ABB">
        <w:trPr>
          <w:trHeight w:val="48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40D43D7C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29479411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 w:val="restart"/>
            <w:vAlign w:val="center"/>
            <w:hideMark/>
          </w:tcPr>
          <w:p w14:paraId="3A0817BC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sz w:val="20"/>
                <w:szCs w:val="20"/>
              </w:rPr>
              <w:t>20%</w:t>
            </w:r>
          </w:p>
        </w:tc>
        <w:tc>
          <w:tcPr>
            <w:tcW w:w="2665" w:type="dxa"/>
            <w:vMerge w:val="restart"/>
            <w:vAlign w:val="center"/>
            <w:hideMark/>
          </w:tcPr>
          <w:p w14:paraId="63834CAE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A.2. Existência de mecanismos e acompanhamento durante e após a constituição da empresa que assegure a sua sobrevivência</w:t>
            </w:r>
          </w:p>
        </w:tc>
        <w:tc>
          <w:tcPr>
            <w:tcW w:w="6900" w:type="dxa"/>
            <w:vAlign w:val="center"/>
            <w:hideMark/>
          </w:tcPr>
          <w:p w14:paraId="3F2190B1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A.2.1 – Autonomia financeira do beneficiário em situação </w:t>
            </w:r>
            <w:proofErr w:type="spellStart"/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pré-projeto</w:t>
            </w:r>
            <w:proofErr w:type="spellEnd"/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(ano anterior à candidatura)</w:t>
            </w: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E65F9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Pontua em função da razão Capital Próprio / Ativo no ano anterior à candidatura</w:t>
            </w:r>
          </w:p>
        </w:tc>
        <w:tc>
          <w:tcPr>
            <w:tcW w:w="1303" w:type="dxa"/>
            <w:noWrap/>
            <w:vAlign w:val="center"/>
            <w:hideMark/>
          </w:tcPr>
          <w:p w14:paraId="05B8BC35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E65F90" w:rsidRPr="00E65F90" w14:paraId="46C07084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2706058A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2D0F3CF3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3CA20A7F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2F798A45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64BA54A0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Autonomia financeira &gt;= 50%, ou entidades sem dados financeiros no ano anterior à candidatura</w:t>
            </w:r>
          </w:p>
        </w:tc>
        <w:tc>
          <w:tcPr>
            <w:tcW w:w="1303" w:type="dxa"/>
            <w:noWrap/>
            <w:vAlign w:val="center"/>
            <w:hideMark/>
          </w:tcPr>
          <w:p w14:paraId="5B4D7CFA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E65F90" w:rsidRPr="00E65F90" w14:paraId="20563F2C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5FA94ECB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7D40AF9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359D18A3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66C6E487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7739FB89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 &lt;50% Autonomia financeira &gt;10%</w:t>
            </w:r>
          </w:p>
        </w:tc>
        <w:tc>
          <w:tcPr>
            <w:tcW w:w="1303" w:type="dxa"/>
            <w:noWrap/>
            <w:vAlign w:val="center"/>
            <w:hideMark/>
          </w:tcPr>
          <w:p w14:paraId="0673B793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E65F90" w:rsidRPr="00E65F90" w14:paraId="70BACA66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27C23A60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614641F9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5F5DEA23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30EC2425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6E337AB4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Autonomia financeira &lt;=10% </w:t>
            </w:r>
          </w:p>
        </w:tc>
        <w:tc>
          <w:tcPr>
            <w:tcW w:w="1303" w:type="dxa"/>
            <w:noWrap/>
            <w:vAlign w:val="center"/>
            <w:hideMark/>
          </w:tcPr>
          <w:p w14:paraId="47F72E5F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E65F90" w:rsidRPr="00E65F90" w14:paraId="35BB26CA" w14:textId="77777777" w:rsidTr="00E65ABB">
        <w:trPr>
          <w:trHeight w:val="720"/>
        </w:trPr>
        <w:tc>
          <w:tcPr>
            <w:tcW w:w="1705" w:type="dxa"/>
            <w:vMerge w:val="restart"/>
            <w:shd w:val="clear" w:color="auto" w:fill="4472C4" w:themeFill="accent1"/>
            <w:textDirection w:val="btLr"/>
            <w:vAlign w:val="center"/>
            <w:hideMark/>
          </w:tcPr>
          <w:p w14:paraId="48F3ADBB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B. IMPACTO EM RESULTADOS</w:t>
            </w:r>
          </w:p>
        </w:tc>
        <w:tc>
          <w:tcPr>
            <w:tcW w:w="1307" w:type="dxa"/>
            <w:vMerge w:val="restart"/>
            <w:noWrap/>
            <w:vAlign w:val="center"/>
            <w:hideMark/>
          </w:tcPr>
          <w:p w14:paraId="475CB061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sz w:val="20"/>
                <w:szCs w:val="20"/>
              </w:rPr>
              <w:t>25%</w:t>
            </w:r>
          </w:p>
        </w:tc>
        <w:tc>
          <w:tcPr>
            <w:tcW w:w="1508" w:type="dxa"/>
            <w:vMerge w:val="restart"/>
            <w:noWrap/>
            <w:vAlign w:val="center"/>
            <w:hideMark/>
          </w:tcPr>
          <w:p w14:paraId="49E7641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sz w:val="20"/>
                <w:szCs w:val="20"/>
              </w:rPr>
              <w:t>8,33%</w:t>
            </w:r>
          </w:p>
        </w:tc>
        <w:tc>
          <w:tcPr>
            <w:tcW w:w="2665" w:type="dxa"/>
            <w:vMerge w:val="restart"/>
            <w:vAlign w:val="center"/>
            <w:hideMark/>
          </w:tcPr>
          <w:p w14:paraId="4CF77A94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B.1. Grau de cumprimento dos resultados acordados no âmbito de operações precedentes da responsabilidade do mesmo beneficiário</w:t>
            </w:r>
          </w:p>
        </w:tc>
        <w:tc>
          <w:tcPr>
            <w:tcW w:w="6900" w:type="dxa"/>
            <w:vAlign w:val="center"/>
            <w:hideMark/>
          </w:tcPr>
          <w:p w14:paraId="4D2670C2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B.1.1 - As operações precedentes no âmbito do +CO3SO ou SI2E são inexistentes ou foram cumpridos os resultados previstos nos indicadores de realização acordados, no âmbito de outras operações +CO3SO ou SI2E (apresentar documentação comprovativa)</w:t>
            </w:r>
          </w:p>
        </w:tc>
        <w:tc>
          <w:tcPr>
            <w:tcW w:w="1303" w:type="dxa"/>
            <w:noWrap/>
            <w:vAlign w:val="center"/>
            <w:hideMark/>
          </w:tcPr>
          <w:p w14:paraId="56C09905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E65F90" w:rsidRPr="00E65F90" w14:paraId="7845CC21" w14:textId="77777777" w:rsidTr="00E65ABB">
        <w:trPr>
          <w:trHeight w:val="48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67CBE248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13B4C843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19737F98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7EF2A81B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3E28155C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Pontua se evidenciar a inexistência de operações precedentes ou se evidenciar o cumprimento dos resultados previstos nos indicadores de realização em operações precedentes</w:t>
            </w:r>
          </w:p>
        </w:tc>
        <w:tc>
          <w:tcPr>
            <w:tcW w:w="1303" w:type="dxa"/>
            <w:noWrap/>
            <w:vAlign w:val="center"/>
            <w:hideMark/>
          </w:tcPr>
          <w:p w14:paraId="22C84683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E65F90" w:rsidRPr="00E65F90" w14:paraId="432A6B67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28B50533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43954F11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52071B5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75B09C1D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1361F7A1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Pontua se evidenciar a existência de operações ainda a decorrer</w:t>
            </w:r>
          </w:p>
        </w:tc>
        <w:tc>
          <w:tcPr>
            <w:tcW w:w="1303" w:type="dxa"/>
            <w:noWrap/>
            <w:vAlign w:val="center"/>
            <w:hideMark/>
          </w:tcPr>
          <w:p w14:paraId="30658EF7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E65F90" w:rsidRPr="00E65F90" w14:paraId="2EDB8E10" w14:textId="77777777" w:rsidTr="00E65ABB">
        <w:trPr>
          <w:trHeight w:val="48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4D6727CF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096EFE6E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0223675B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2340B3AD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0439AE5F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Pontua se não tiver ocorrido o cumprimento dos resultados previstos nos indicadores de realização em operações precedentes no âmbito do SI2E</w:t>
            </w:r>
          </w:p>
        </w:tc>
        <w:tc>
          <w:tcPr>
            <w:tcW w:w="1303" w:type="dxa"/>
            <w:noWrap/>
            <w:vAlign w:val="center"/>
            <w:hideMark/>
          </w:tcPr>
          <w:p w14:paraId="33E337AC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E65F90" w:rsidRPr="00E65F90" w14:paraId="6218CC9B" w14:textId="77777777" w:rsidTr="00E65ABB">
        <w:trPr>
          <w:trHeight w:val="48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37E5C7B7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052B916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 w:val="restart"/>
            <w:noWrap/>
            <w:vAlign w:val="center"/>
            <w:hideMark/>
          </w:tcPr>
          <w:p w14:paraId="7375A854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sz w:val="20"/>
                <w:szCs w:val="20"/>
              </w:rPr>
              <w:t>8,33%</w:t>
            </w:r>
          </w:p>
        </w:tc>
        <w:tc>
          <w:tcPr>
            <w:tcW w:w="2665" w:type="dxa"/>
            <w:vMerge w:val="restart"/>
            <w:vAlign w:val="center"/>
            <w:hideMark/>
          </w:tcPr>
          <w:p w14:paraId="03C79A27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B.2. Contributo para a concretização dos indicadores de realização e resultado e indicadores específicos das operações definidos em sede de aviso de concurso e dos objetivos específicos da prioridade de investimento</w:t>
            </w:r>
          </w:p>
        </w:tc>
        <w:tc>
          <w:tcPr>
            <w:tcW w:w="6900" w:type="dxa"/>
            <w:vAlign w:val="center"/>
            <w:hideMark/>
          </w:tcPr>
          <w:p w14:paraId="1B71728F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B.2.1 Contribuição da operação para concretização dos indicadores de realização a contratualizar</w:t>
            </w: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E65F9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Pontua de acordo com o nº de postos de trabalho a criar</w:t>
            </w:r>
          </w:p>
        </w:tc>
        <w:tc>
          <w:tcPr>
            <w:tcW w:w="1303" w:type="dxa"/>
            <w:noWrap/>
            <w:vAlign w:val="center"/>
            <w:hideMark/>
          </w:tcPr>
          <w:p w14:paraId="6A4487C0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50; 80 ou 100</w:t>
            </w:r>
          </w:p>
        </w:tc>
      </w:tr>
      <w:tr w:rsidR="00E65F90" w:rsidRPr="00E65F90" w14:paraId="21884741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6C6E39D0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5BACC2CB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0DB9C4AF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2ABB265F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68BBD836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Mais de 2 postos de trabalho</w:t>
            </w:r>
          </w:p>
        </w:tc>
        <w:tc>
          <w:tcPr>
            <w:tcW w:w="1303" w:type="dxa"/>
            <w:noWrap/>
            <w:vAlign w:val="center"/>
            <w:hideMark/>
          </w:tcPr>
          <w:p w14:paraId="09627752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E65F90" w:rsidRPr="00E65F90" w14:paraId="4DB8DF9B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04224084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3111A86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0D761D7C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0755DC04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03E64140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- 2 postos de trabalho</w:t>
            </w:r>
          </w:p>
        </w:tc>
        <w:tc>
          <w:tcPr>
            <w:tcW w:w="1303" w:type="dxa"/>
            <w:noWrap/>
            <w:vAlign w:val="center"/>
            <w:hideMark/>
          </w:tcPr>
          <w:p w14:paraId="3361E5C7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80</w:t>
            </w:r>
          </w:p>
        </w:tc>
      </w:tr>
      <w:tr w:rsidR="00E65F90" w:rsidRPr="00E65F90" w14:paraId="765D19A8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48670EC1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34ADECF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0F6873F5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353548A2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58304565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- 1 posto de trabalho</w:t>
            </w:r>
          </w:p>
        </w:tc>
        <w:tc>
          <w:tcPr>
            <w:tcW w:w="1303" w:type="dxa"/>
            <w:noWrap/>
            <w:vAlign w:val="center"/>
            <w:hideMark/>
          </w:tcPr>
          <w:p w14:paraId="4EE305AA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E65F90" w:rsidRPr="00E65F90" w14:paraId="565BEDC1" w14:textId="77777777" w:rsidTr="00E65ABB">
        <w:trPr>
          <w:trHeight w:val="72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6CAE2622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6FF9D9F7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5F2BBD0F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2C00CAAF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356C5412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B.2.2 – Contribuição da operação para concretização dos indicadores de resultado a contratualizar</w:t>
            </w: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E65F9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Nº de postos de trabalho que se mantêm 6 meses após o mês de conclusão da operação/Nº de postos de trabalho criados no âmbito da operação X 100</w:t>
            </w:r>
          </w:p>
        </w:tc>
        <w:tc>
          <w:tcPr>
            <w:tcW w:w="1303" w:type="dxa"/>
            <w:noWrap/>
            <w:vAlign w:val="center"/>
            <w:hideMark/>
          </w:tcPr>
          <w:p w14:paraId="17E20EBC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E65F90" w:rsidRPr="00E65F90" w14:paraId="09C629E1" w14:textId="77777777" w:rsidTr="00E65ABB">
        <w:trPr>
          <w:trHeight w:val="394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1FBCEC71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2DC77109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574832C5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07D09ADE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68D1EE51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Percentagem =100%</w:t>
            </w:r>
          </w:p>
        </w:tc>
        <w:tc>
          <w:tcPr>
            <w:tcW w:w="1303" w:type="dxa"/>
            <w:noWrap/>
            <w:vAlign w:val="center"/>
            <w:hideMark/>
          </w:tcPr>
          <w:p w14:paraId="58B0980E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E65F90" w:rsidRPr="00E65F90" w14:paraId="25AE0155" w14:textId="77777777" w:rsidTr="00E65ABB">
        <w:trPr>
          <w:trHeight w:val="4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12415995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70166F7C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27BFD764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05B6EE2D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55DBD577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- 100 &lt; Percentagem &gt;=50%</w:t>
            </w:r>
          </w:p>
        </w:tc>
        <w:tc>
          <w:tcPr>
            <w:tcW w:w="1303" w:type="dxa"/>
            <w:noWrap/>
            <w:vAlign w:val="center"/>
            <w:hideMark/>
          </w:tcPr>
          <w:p w14:paraId="6D991B02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E65F90" w:rsidRPr="00E65F90" w14:paraId="2A1A1E3B" w14:textId="77777777" w:rsidTr="00A20E32">
        <w:trPr>
          <w:trHeight w:val="275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1F75D90C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0714598F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32BC7F45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046B3603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2003D08E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Percentagem &lt; 50%</w:t>
            </w:r>
          </w:p>
        </w:tc>
        <w:tc>
          <w:tcPr>
            <w:tcW w:w="1303" w:type="dxa"/>
            <w:noWrap/>
            <w:vAlign w:val="center"/>
            <w:hideMark/>
          </w:tcPr>
          <w:p w14:paraId="4D64ABA8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E65F90" w:rsidRPr="00E65F90" w14:paraId="0C4F7D4F" w14:textId="77777777" w:rsidTr="00E65ABB">
        <w:trPr>
          <w:trHeight w:val="48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47067AE0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5EA4BB1D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 w:val="restart"/>
            <w:noWrap/>
            <w:vAlign w:val="center"/>
            <w:hideMark/>
          </w:tcPr>
          <w:p w14:paraId="70AB3C45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sz w:val="20"/>
                <w:szCs w:val="20"/>
              </w:rPr>
              <w:t>4,17%</w:t>
            </w:r>
          </w:p>
        </w:tc>
        <w:tc>
          <w:tcPr>
            <w:tcW w:w="2665" w:type="dxa"/>
            <w:vMerge w:val="restart"/>
            <w:vAlign w:val="center"/>
            <w:hideMark/>
          </w:tcPr>
          <w:p w14:paraId="7434231E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B.3. Identificação de competências e Instrumentos e sua transformação em soluções de empreendedorismo social e ou económico</w:t>
            </w:r>
          </w:p>
        </w:tc>
        <w:tc>
          <w:tcPr>
            <w:tcW w:w="6900" w:type="dxa"/>
            <w:vAlign w:val="center"/>
            <w:hideMark/>
          </w:tcPr>
          <w:p w14:paraId="0F342013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B.3.1 – Tipologia de operação</w:t>
            </w: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E65F9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Pontua de acordo a tipologia de operação</w:t>
            </w:r>
          </w:p>
        </w:tc>
        <w:tc>
          <w:tcPr>
            <w:tcW w:w="1303" w:type="dxa"/>
            <w:noWrap/>
            <w:vAlign w:val="center"/>
            <w:hideMark/>
          </w:tcPr>
          <w:p w14:paraId="5DBF3B3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E65F90" w:rsidRPr="00E65F90" w14:paraId="354A4166" w14:textId="77777777" w:rsidTr="00E65ABB">
        <w:trPr>
          <w:trHeight w:val="72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6086E862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328DE9A5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094923F4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55F50648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33FECC4D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Criação de próprio emprego ou empresa criada há menos de 12 meses contados a partir da submissão da candidatura; ou</w:t>
            </w:r>
            <w:r w:rsidRPr="00E65F90">
              <w:rPr>
                <w:rFonts w:asciiTheme="minorHAnsi" w:hAnsiTheme="minorHAnsi" w:cstheme="minorHAnsi"/>
                <w:sz w:val="18"/>
                <w:szCs w:val="18"/>
              </w:rPr>
              <w:br/>
              <w:t xml:space="preserve"> - Criação do primeiro posto de trabalho por conta de </w:t>
            </w:r>
            <w:proofErr w:type="spellStart"/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outrém</w:t>
            </w:r>
            <w:proofErr w:type="spellEnd"/>
          </w:p>
        </w:tc>
        <w:tc>
          <w:tcPr>
            <w:tcW w:w="1303" w:type="dxa"/>
            <w:noWrap/>
            <w:vAlign w:val="center"/>
            <w:hideMark/>
          </w:tcPr>
          <w:p w14:paraId="50F07F23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E65F90" w:rsidRPr="00E65F90" w14:paraId="0BCF696E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7CBBBE2B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497B68D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1E71C544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0DA98E49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3CC42C0F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Outras situações</w:t>
            </w:r>
          </w:p>
        </w:tc>
        <w:tc>
          <w:tcPr>
            <w:tcW w:w="1303" w:type="dxa"/>
            <w:noWrap/>
            <w:vAlign w:val="center"/>
            <w:hideMark/>
          </w:tcPr>
          <w:p w14:paraId="4CDB155D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E65F90" w:rsidRPr="00E65F90" w14:paraId="12E63D81" w14:textId="77777777" w:rsidTr="00E65ABB">
        <w:trPr>
          <w:trHeight w:val="996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2F0C4FDE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0660C641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 w:val="restart"/>
            <w:noWrap/>
            <w:vAlign w:val="center"/>
            <w:hideMark/>
          </w:tcPr>
          <w:p w14:paraId="49A24D7B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sz w:val="20"/>
                <w:szCs w:val="20"/>
              </w:rPr>
              <w:t>4,17%</w:t>
            </w:r>
          </w:p>
        </w:tc>
        <w:tc>
          <w:tcPr>
            <w:tcW w:w="2665" w:type="dxa"/>
            <w:vMerge/>
            <w:vAlign w:val="center"/>
            <w:hideMark/>
          </w:tcPr>
          <w:p w14:paraId="7283456B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310AFCA1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B.3.2 – Grau de Diferenciação</w:t>
            </w: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E65F9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A candidatura apresenta elementos de diferenciação relevantes em termos de:</w:t>
            </w: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E65F9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Novo bem (design); Novo método produtivo; Novo Mercado; Nova organização económica/modelo de negócio/marketing-comunicação; Redução de consumo energético/matérias primas.</w:t>
            </w:r>
          </w:p>
        </w:tc>
        <w:tc>
          <w:tcPr>
            <w:tcW w:w="1303" w:type="dxa"/>
            <w:vAlign w:val="center"/>
            <w:hideMark/>
          </w:tcPr>
          <w:p w14:paraId="0D8A6F8D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20; 40; 60; 80 ou 100</w:t>
            </w:r>
          </w:p>
        </w:tc>
      </w:tr>
      <w:tr w:rsidR="00E65F90" w:rsidRPr="00E65F90" w14:paraId="44633CB6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25D24A11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0F703D9A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5FF8051A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48E88D36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1C7E377F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- Há evidência em todos os pontos</w:t>
            </w:r>
          </w:p>
        </w:tc>
        <w:tc>
          <w:tcPr>
            <w:tcW w:w="1303" w:type="dxa"/>
            <w:noWrap/>
            <w:vAlign w:val="center"/>
            <w:hideMark/>
          </w:tcPr>
          <w:p w14:paraId="3123C5AD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E65F90" w:rsidRPr="00E65F90" w14:paraId="181A8287" w14:textId="77777777" w:rsidTr="00E65ABB">
        <w:trPr>
          <w:trHeight w:val="252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2E1CFB2B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28DC6D6D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2B5EA90B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6987D88B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1B8B4CA0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Não há evidência em um ou dois pontos.</w:t>
            </w:r>
          </w:p>
        </w:tc>
        <w:tc>
          <w:tcPr>
            <w:tcW w:w="1303" w:type="dxa"/>
            <w:noWrap/>
            <w:vAlign w:val="center"/>
            <w:hideMark/>
          </w:tcPr>
          <w:p w14:paraId="4A0760D4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80</w:t>
            </w:r>
          </w:p>
        </w:tc>
      </w:tr>
      <w:tr w:rsidR="00E65F90" w:rsidRPr="00E65F90" w14:paraId="5FC2439A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4C0E42E5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5A291A77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75E927CF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0CA93593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5279082A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Não há evidência em três pontos.</w:t>
            </w:r>
          </w:p>
        </w:tc>
        <w:tc>
          <w:tcPr>
            <w:tcW w:w="1303" w:type="dxa"/>
            <w:noWrap/>
            <w:vAlign w:val="center"/>
            <w:hideMark/>
          </w:tcPr>
          <w:p w14:paraId="083B2334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60</w:t>
            </w:r>
          </w:p>
        </w:tc>
      </w:tr>
      <w:tr w:rsidR="00E65F90" w:rsidRPr="00E65F90" w14:paraId="15F8E783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3AA85040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661B70E7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45C73CF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077A8A8E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03220D41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Não há evidência em quatro ou cinco pontos.</w:t>
            </w:r>
          </w:p>
        </w:tc>
        <w:tc>
          <w:tcPr>
            <w:tcW w:w="1303" w:type="dxa"/>
            <w:noWrap/>
            <w:vAlign w:val="center"/>
            <w:hideMark/>
          </w:tcPr>
          <w:p w14:paraId="4C633BC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</w:tr>
      <w:tr w:rsidR="00E65F90" w:rsidRPr="00E65F90" w14:paraId="1E70EC99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08D64923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1FC06E34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345073FE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0D7EAC78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4FAB3F39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Não há evidência em qualquer ponto.</w:t>
            </w:r>
          </w:p>
        </w:tc>
        <w:tc>
          <w:tcPr>
            <w:tcW w:w="1303" w:type="dxa"/>
            <w:noWrap/>
            <w:vAlign w:val="center"/>
            <w:hideMark/>
          </w:tcPr>
          <w:p w14:paraId="77A5606B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</w:tr>
      <w:tr w:rsidR="00E65F90" w:rsidRPr="00E65F90" w14:paraId="10EC1766" w14:textId="77777777" w:rsidTr="00E65ABB">
        <w:trPr>
          <w:trHeight w:val="240"/>
        </w:trPr>
        <w:tc>
          <w:tcPr>
            <w:tcW w:w="1705" w:type="dxa"/>
            <w:vMerge w:val="restart"/>
            <w:shd w:val="clear" w:color="auto" w:fill="4472C4" w:themeFill="accent1"/>
            <w:textDirection w:val="btLr"/>
            <w:vAlign w:val="center"/>
            <w:hideMark/>
          </w:tcPr>
          <w:p w14:paraId="6D3169A5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C. COERÊNCIA COM A ESTRATÉGIA REGIONAL</w:t>
            </w:r>
          </w:p>
        </w:tc>
        <w:tc>
          <w:tcPr>
            <w:tcW w:w="1307" w:type="dxa"/>
            <w:vMerge w:val="restart"/>
            <w:noWrap/>
            <w:vAlign w:val="center"/>
            <w:hideMark/>
          </w:tcPr>
          <w:p w14:paraId="1BAEC46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sz w:val="20"/>
                <w:szCs w:val="20"/>
              </w:rPr>
              <w:t>30%</w:t>
            </w:r>
          </w:p>
        </w:tc>
        <w:tc>
          <w:tcPr>
            <w:tcW w:w="1508" w:type="dxa"/>
            <w:vMerge w:val="restart"/>
            <w:noWrap/>
            <w:vAlign w:val="center"/>
            <w:hideMark/>
          </w:tcPr>
          <w:p w14:paraId="1AB12E6F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sz w:val="20"/>
                <w:szCs w:val="20"/>
              </w:rPr>
              <w:t>15%</w:t>
            </w:r>
          </w:p>
        </w:tc>
        <w:tc>
          <w:tcPr>
            <w:tcW w:w="2665" w:type="dxa"/>
            <w:vMerge w:val="restart"/>
            <w:vAlign w:val="center"/>
            <w:hideMark/>
          </w:tcPr>
          <w:p w14:paraId="1A4F26B4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C.1. Grau de alinhamento com as Ações Integradas de Desenvolvimento Territorial (AIDT)</w:t>
            </w:r>
          </w:p>
        </w:tc>
        <w:tc>
          <w:tcPr>
            <w:tcW w:w="6900" w:type="dxa"/>
            <w:vAlign w:val="center"/>
            <w:hideMark/>
          </w:tcPr>
          <w:p w14:paraId="698C7AB7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C. 1.1 - Pontua na dimensão de análise em função do número de subcritérios cumpridos:</w:t>
            </w:r>
          </w:p>
        </w:tc>
        <w:tc>
          <w:tcPr>
            <w:tcW w:w="1303" w:type="dxa"/>
            <w:noWrap/>
            <w:vAlign w:val="center"/>
            <w:hideMark/>
          </w:tcPr>
          <w:p w14:paraId="4D4CA894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E65F90" w:rsidRPr="00E65F90" w14:paraId="34FC8A20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4C4A7188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5EF24133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0EBC36B8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658BE79D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434169C5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Dois ou mais subcritérios</w:t>
            </w:r>
          </w:p>
        </w:tc>
        <w:tc>
          <w:tcPr>
            <w:tcW w:w="1303" w:type="dxa"/>
            <w:noWrap/>
            <w:vAlign w:val="center"/>
            <w:hideMark/>
          </w:tcPr>
          <w:p w14:paraId="3F838E72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E65F90" w:rsidRPr="00E65F90" w14:paraId="384112BE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574BB7E1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0EDA0CCE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5E29FB0C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0B90EEC1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52240B19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Um subcritério</w:t>
            </w:r>
          </w:p>
        </w:tc>
        <w:tc>
          <w:tcPr>
            <w:tcW w:w="1303" w:type="dxa"/>
            <w:noWrap/>
            <w:vAlign w:val="center"/>
            <w:hideMark/>
          </w:tcPr>
          <w:p w14:paraId="4BCAA5A2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E65F90" w:rsidRPr="00E65F90" w14:paraId="5817B4D9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3378C32A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3AE3E851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54543EE5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3EFDBE5E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277CFA8F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Nenhum subcritério</w:t>
            </w:r>
          </w:p>
        </w:tc>
        <w:tc>
          <w:tcPr>
            <w:tcW w:w="1303" w:type="dxa"/>
            <w:noWrap/>
            <w:vAlign w:val="center"/>
            <w:hideMark/>
          </w:tcPr>
          <w:p w14:paraId="00A514B3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E65F90" w:rsidRPr="00E65F90" w14:paraId="5D4D5EE5" w14:textId="77777777" w:rsidTr="00E65ABB">
        <w:trPr>
          <w:trHeight w:val="72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2081CDEA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2EC54A39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 w:val="restart"/>
            <w:noWrap/>
            <w:vAlign w:val="center"/>
            <w:hideMark/>
          </w:tcPr>
          <w:p w14:paraId="61BD39BB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sz w:val="20"/>
                <w:szCs w:val="20"/>
              </w:rPr>
              <w:t>15%</w:t>
            </w:r>
          </w:p>
        </w:tc>
        <w:tc>
          <w:tcPr>
            <w:tcW w:w="2665" w:type="dxa"/>
            <w:vMerge w:val="restart"/>
            <w:vAlign w:val="center"/>
            <w:hideMark/>
          </w:tcPr>
          <w:p w14:paraId="335CB0A6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C.2. Potencial do projeto para a promoção do emprego de base local e promoção da sustentabilidade na utilização dos recursos</w:t>
            </w:r>
          </w:p>
        </w:tc>
        <w:tc>
          <w:tcPr>
            <w:tcW w:w="6900" w:type="dxa"/>
            <w:vAlign w:val="center"/>
            <w:hideMark/>
          </w:tcPr>
          <w:p w14:paraId="05F1917F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C.2.1 – Peso dos postos de trabalho a apoiar no quadro de pessoal </w:t>
            </w:r>
            <w:r w:rsidRPr="00E65F90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E65F9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Pontua em função da razão nº de postos de trabalho a apoiar / nº de postos de trabalho em situação </w:t>
            </w:r>
            <w:proofErr w:type="spellStart"/>
            <w:r w:rsidRPr="00E65F9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pré-projeto</w:t>
            </w:r>
            <w:proofErr w:type="spellEnd"/>
          </w:p>
        </w:tc>
        <w:tc>
          <w:tcPr>
            <w:tcW w:w="1303" w:type="dxa"/>
            <w:noWrap/>
            <w:vAlign w:val="center"/>
            <w:hideMark/>
          </w:tcPr>
          <w:p w14:paraId="1F6769AA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E65F90" w:rsidRPr="00E65F90" w14:paraId="1A589058" w14:textId="77777777" w:rsidTr="00E65ABB">
        <w:trPr>
          <w:trHeight w:val="48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7C3E639C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00805182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55C3A930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4E3E82C9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4F2C30FC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Nº postos a apoiar / Nº postos existentes &gt;= 0,05 ou quando não existem postos de trabalho em situação </w:t>
            </w:r>
            <w:proofErr w:type="spellStart"/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pré-projeto</w:t>
            </w:r>
            <w:proofErr w:type="spellEnd"/>
          </w:p>
        </w:tc>
        <w:tc>
          <w:tcPr>
            <w:tcW w:w="1303" w:type="dxa"/>
            <w:noWrap/>
            <w:vAlign w:val="center"/>
            <w:hideMark/>
          </w:tcPr>
          <w:p w14:paraId="6D6016D3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E65F90" w:rsidRPr="00E65F90" w14:paraId="64E2D236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52A644D4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4FAB5015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7A2C1203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07BBFBDF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51BA5A60" w14:textId="4E89850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- 0,05 &lt; Nº postos a apoiar / Nº postos existentes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&gt;</w:t>
            </w: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= 0,01</w:t>
            </w:r>
          </w:p>
        </w:tc>
        <w:tc>
          <w:tcPr>
            <w:tcW w:w="1303" w:type="dxa"/>
            <w:noWrap/>
            <w:vAlign w:val="center"/>
            <w:hideMark/>
          </w:tcPr>
          <w:p w14:paraId="7529EFD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E65F90" w:rsidRPr="00E65F90" w14:paraId="0DF984A4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6CA749FD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68CE701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52AEDB8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1928943A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44CB21CD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Nº postos a apoiar / Nº postos existentes &lt; 0,01</w:t>
            </w:r>
          </w:p>
        </w:tc>
        <w:tc>
          <w:tcPr>
            <w:tcW w:w="1303" w:type="dxa"/>
            <w:noWrap/>
            <w:vAlign w:val="center"/>
            <w:hideMark/>
          </w:tcPr>
          <w:p w14:paraId="3FDCA02C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E65F90" w:rsidRPr="00E65F90" w14:paraId="1D225E53" w14:textId="77777777" w:rsidTr="00E65ABB">
        <w:trPr>
          <w:trHeight w:val="720"/>
        </w:trPr>
        <w:tc>
          <w:tcPr>
            <w:tcW w:w="1705" w:type="dxa"/>
            <w:vMerge w:val="restart"/>
            <w:shd w:val="clear" w:color="auto" w:fill="4472C4" w:themeFill="accent1"/>
            <w:textDirection w:val="btLr"/>
            <w:vAlign w:val="center"/>
            <w:hideMark/>
          </w:tcPr>
          <w:p w14:paraId="38623416" w14:textId="48E09F23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D. IGUALDADE DE OPORTUNIDADES</w:t>
            </w:r>
          </w:p>
        </w:tc>
        <w:tc>
          <w:tcPr>
            <w:tcW w:w="1307" w:type="dxa"/>
            <w:vMerge w:val="restart"/>
            <w:noWrap/>
            <w:vAlign w:val="center"/>
            <w:hideMark/>
          </w:tcPr>
          <w:p w14:paraId="2A7505C9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sz w:val="20"/>
                <w:szCs w:val="20"/>
              </w:rPr>
              <w:t>5%</w:t>
            </w:r>
          </w:p>
        </w:tc>
        <w:tc>
          <w:tcPr>
            <w:tcW w:w="1508" w:type="dxa"/>
            <w:vMerge w:val="restart"/>
            <w:noWrap/>
            <w:vAlign w:val="center"/>
            <w:hideMark/>
          </w:tcPr>
          <w:p w14:paraId="666BC908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sz w:val="20"/>
                <w:szCs w:val="20"/>
              </w:rPr>
              <w:t>5%</w:t>
            </w:r>
          </w:p>
        </w:tc>
        <w:tc>
          <w:tcPr>
            <w:tcW w:w="2665" w:type="dxa"/>
            <w:vMerge w:val="restart"/>
            <w:vAlign w:val="center"/>
            <w:hideMark/>
          </w:tcPr>
          <w:p w14:paraId="500C3004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D.1 Contributo para a prossecução dos objetivos das políticas de igualdade de oportunidades e de igualdade de género</w:t>
            </w:r>
          </w:p>
        </w:tc>
        <w:tc>
          <w:tcPr>
            <w:tcW w:w="6900" w:type="dxa"/>
            <w:vAlign w:val="center"/>
            <w:hideMark/>
          </w:tcPr>
          <w:p w14:paraId="7E9AE9CF" w14:textId="2BF13AEB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D.1.1 – A entidade já implementa políticas de igualdade de oportunidades e de igualdade de género </w:t>
            </w:r>
            <w:r w:rsidRPr="00E65F90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E65ABB"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Pontua quando demonstra que emprega pelo menos um trabalhador do género sub-representado</w:t>
            </w:r>
            <w:r w:rsidR="00E65ABB">
              <w:rPr>
                <w:rStyle w:val="Refdenotaderodap"/>
                <w:rFonts w:asciiTheme="minorHAnsi" w:hAnsiTheme="minorHAnsi" w:cstheme="minorHAnsi"/>
                <w:i/>
                <w:iCs/>
                <w:sz w:val="18"/>
                <w:szCs w:val="18"/>
              </w:rPr>
              <w:footnoteReference w:id="1"/>
            </w:r>
            <w:r w:rsidR="00E65ABB"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, ou trabalhador qualificado</w:t>
            </w:r>
            <w:r w:rsidR="00E65ABB">
              <w:rPr>
                <w:rStyle w:val="Refdenotaderodap"/>
                <w:rFonts w:asciiTheme="minorHAnsi" w:hAnsiTheme="minorHAnsi" w:cstheme="minorHAnsi"/>
                <w:i/>
                <w:iCs/>
                <w:sz w:val="18"/>
                <w:szCs w:val="18"/>
              </w:rPr>
              <w:footnoteReference w:id="2"/>
            </w:r>
            <w:r w:rsidR="00E65ABB"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, através de documentos oficiais.</w:t>
            </w:r>
          </w:p>
        </w:tc>
        <w:tc>
          <w:tcPr>
            <w:tcW w:w="1303" w:type="dxa"/>
            <w:noWrap/>
            <w:vAlign w:val="center"/>
            <w:hideMark/>
          </w:tcPr>
          <w:p w14:paraId="18089AAB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E65F90" w:rsidRPr="00E65F90" w14:paraId="4F356C79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hideMark/>
          </w:tcPr>
          <w:p w14:paraId="4A896593" w14:textId="77777777" w:rsidR="00E65F90" w:rsidRPr="00E65F90" w:rsidRDefault="00E65F90" w:rsidP="00E65F9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307" w:type="dxa"/>
            <w:vMerge/>
            <w:hideMark/>
          </w:tcPr>
          <w:p w14:paraId="140AA6ED" w14:textId="77777777" w:rsidR="00E65F90" w:rsidRPr="00E65F90" w:rsidRDefault="00E65F90" w:rsidP="00E65F90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08" w:type="dxa"/>
            <w:vMerge/>
            <w:hideMark/>
          </w:tcPr>
          <w:p w14:paraId="77B28280" w14:textId="77777777" w:rsidR="00E65F90" w:rsidRPr="00E65F90" w:rsidRDefault="00E65F90" w:rsidP="00E65F90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65" w:type="dxa"/>
            <w:vMerge/>
            <w:hideMark/>
          </w:tcPr>
          <w:p w14:paraId="16454F61" w14:textId="77777777" w:rsidR="00E65F90" w:rsidRPr="00E65F90" w:rsidRDefault="00E65F90" w:rsidP="00E65F9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900" w:type="dxa"/>
            <w:vAlign w:val="center"/>
            <w:hideMark/>
          </w:tcPr>
          <w:p w14:paraId="7C02FED9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Pelo menos um trabalhador do género sub-representado e um trabalhador qualificado</w:t>
            </w:r>
          </w:p>
        </w:tc>
        <w:tc>
          <w:tcPr>
            <w:tcW w:w="1303" w:type="dxa"/>
            <w:noWrap/>
            <w:vAlign w:val="center"/>
            <w:hideMark/>
          </w:tcPr>
          <w:p w14:paraId="19F7B708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E65F90" w:rsidRPr="00E65F90" w14:paraId="1A6E6111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hideMark/>
          </w:tcPr>
          <w:p w14:paraId="4F8F2B22" w14:textId="77777777" w:rsidR="00E65F90" w:rsidRPr="00E65F90" w:rsidRDefault="00E65F90" w:rsidP="00E65F9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307" w:type="dxa"/>
            <w:vMerge/>
            <w:hideMark/>
          </w:tcPr>
          <w:p w14:paraId="427694A3" w14:textId="77777777" w:rsidR="00E65F90" w:rsidRPr="00E65F90" w:rsidRDefault="00E65F90" w:rsidP="00E65F90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08" w:type="dxa"/>
            <w:vMerge/>
            <w:hideMark/>
          </w:tcPr>
          <w:p w14:paraId="5A311086" w14:textId="77777777" w:rsidR="00E65F90" w:rsidRPr="00E65F90" w:rsidRDefault="00E65F90" w:rsidP="00E65F90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65" w:type="dxa"/>
            <w:vMerge/>
            <w:hideMark/>
          </w:tcPr>
          <w:p w14:paraId="2753C052" w14:textId="77777777" w:rsidR="00E65F90" w:rsidRPr="00E65F90" w:rsidRDefault="00E65F90" w:rsidP="00E65F9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900" w:type="dxa"/>
            <w:vAlign w:val="center"/>
            <w:hideMark/>
          </w:tcPr>
          <w:p w14:paraId="5305C2E2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Pelo menos um trabalhador do género sub-representado ou um trabalhador qualificado</w:t>
            </w:r>
          </w:p>
        </w:tc>
        <w:tc>
          <w:tcPr>
            <w:tcW w:w="1303" w:type="dxa"/>
            <w:noWrap/>
            <w:vAlign w:val="center"/>
            <w:hideMark/>
          </w:tcPr>
          <w:p w14:paraId="1F1241AE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E65F90" w:rsidRPr="00E65F90" w14:paraId="5A9D06AF" w14:textId="77777777" w:rsidTr="00E65ABB">
        <w:trPr>
          <w:trHeight w:val="480"/>
        </w:trPr>
        <w:tc>
          <w:tcPr>
            <w:tcW w:w="1705" w:type="dxa"/>
            <w:vMerge/>
            <w:shd w:val="clear" w:color="auto" w:fill="4472C4" w:themeFill="accent1"/>
            <w:hideMark/>
          </w:tcPr>
          <w:p w14:paraId="178E8D23" w14:textId="77777777" w:rsidR="00E65F90" w:rsidRPr="00E65F90" w:rsidRDefault="00E65F90" w:rsidP="00E65F9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307" w:type="dxa"/>
            <w:vMerge/>
            <w:hideMark/>
          </w:tcPr>
          <w:p w14:paraId="52C947E3" w14:textId="77777777" w:rsidR="00E65F90" w:rsidRPr="00E65F90" w:rsidRDefault="00E65F90" w:rsidP="00E65F90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08" w:type="dxa"/>
            <w:vMerge/>
            <w:hideMark/>
          </w:tcPr>
          <w:p w14:paraId="0ED7B6F2" w14:textId="77777777" w:rsidR="00E65F90" w:rsidRPr="00E65F90" w:rsidRDefault="00E65F90" w:rsidP="00E65F90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65" w:type="dxa"/>
            <w:vMerge/>
            <w:hideMark/>
          </w:tcPr>
          <w:p w14:paraId="04920F79" w14:textId="77777777" w:rsidR="00E65F90" w:rsidRPr="00E65F90" w:rsidRDefault="00E65F90" w:rsidP="00E65F9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900" w:type="dxa"/>
            <w:vAlign w:val="center"/>
            <w:hideMark/>
          </w:tcPr>
          <w:p w14:paraId="72685937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Nenhuma das anteriores ou empresa que não tenha trabalhadores no seu quadro em situação </w:t>
            </w:r>
            <w:proofErr w:type="spellStart"/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pré-projeto</w:t>
            </w:r>
            <w:proofErr w:type="spellEnd"/>
          </w:p>
        </w:tc>
        <w:tc>
          <w:tcPr>
            <w:tcW w:w="1303" w:type="dxa"/>
            <w:noWrap/>
            <w:vAlign w:val="center"/>
            <w:hideMark/>
          </w:tcPr>
          <w:p w14:paraId="28337F07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</w:tbl>
    <w:p w14:paraId="67804BC6" w14:textId="77777777" w:rsidR="00B0741A" w:rsidRPr="004235DD" w:rsidRDefault="00B0741A">
      <w:pPr>
        <w:rPr>
          <w:rFonts w:asciiTheme="majorHAnsi" w:hAnsiTheme="majorHAnsi" w:cstheme="majorHAnsi"/>
        </w:rPr>
      </w:pPr>
    </w:p>
    <w:sectPr w:rsidR="00B0741A" w:rsidRPr="004235DD" w:rsidSect="00A20E32">
      <w:footnotePr>
        <w:numStart w:val="4"/>
      </w:footnotePr>
      <w:pgSz w:w="16838" w:h="11906" w:orient="landscape"/>
      <w:pgMar w:top="720" w:right="720" w:bottom="720" w:left="720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FC40F7" w14:textId="77777777" w:rsidR="00D85BE2" w:rsidRDefault="00D85BE2" w:rsidP="0004420F">
      <w:r>
        <w:separator/>
      </w:r>
    </w:p>
  </w:endnote>
  <w:endnote w:type="continuationSeparator" w:id="0">
    <w:p w14:paraId="50E892D8" w14:textId="77777777" w:rsidR="00D85BE2" w:rsidRDefault="00D85BE2" w:rsidP="00044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16A1F7" w14:textId="77777777" w:rsidR="00D85BE2" w:rsidRDefault="00D85BE2" w:rsidP="0004420F">
      <w:r>
        <w:separator/>
      </w:r>
    </w:p>
  </w:footnote>
  <w:footnote w:type="continuationSeparator" w:id="0">
    <w:p w14:paraId="63489768" w14:textId="77777777" w:rsidR="00D85BE2" w:rsidRDefault="00D85BE2" w:rsidP="0004420F">
      <w:r>
        <w:continuationSeparator/>
      </w:r>
    </w:p>
  </w:footnote>
  <w:footnote w:id="1">
    <w:p w14:paraId="606E0E74" w14:textId="77777777" w:rsidR="00E65ABB" w:rsidRDefault="00E65ABB" w:rsidP="00E65ABB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r w:rsidRPr="00327DB9">
        <w:rPr>
          <w:rFonts w:asciiTheme="minorHAnsi" w:hAnsiTheme="minorHAnsi" w:cstheme="minorHAnsi"/>
        </w:rPr>
        <w:t xml:space="preserve">Fonte: MTSS; </w:t>
      </w:r>
      <w:hyperlink r:id="rId1" w:history="1">
        <w:proofErr w:type="spellStart"/>
        <w:r w:rsidRPr="00327DB9">
          <w:rPr>
            <w:rStyle w:val="Hiperligao"/>
          </w:rPr>
          <w:t>I</w:t>
        </w:r>
        <w:r>
          <w:rPr>
            <w:rStyle w:val="Hiperligao"/>
            <w:rFonts w:asciiTheme="minorHAnsi" w:hAnsiTheme="minorHAnsi" w:cstheme="minorHAnsi"/>
          </w:rPr>
          <w:t>efp</w:t>
        </w:r>
        <w:proofErr w:type="spellEnd"/>
        <w:r>
          <w:rPr>
            <w:rStyle w:val="Hiperligao"/>
            <w:rFonts w:asciiTheme="minorHAnsi" w:hAnsiTheme="minorHAnsi" w:cstheme="minorHAnsi"/>
          </w:rPr>
          <w:t xml:space="preserve"> – Medida de Promoção de Igualdade de Género no Mercado de Trabalho (maio.2017)</w:t>
        </w:r>
      </w:hyperlink>
      <w:r>
        <w:t xml:space="preserve"> </w:t>
      </w:r>
    </w:p>
    <w:p w14:paraId="792D641C" w14:textId="77777777" w:rsidR="00E65ABB" w:rsidRDefault="00E65ABB" w:rsidP="00E65ABB">
      <w:pPr>
        <w:pStyle w:val="Textodenotaderodap"/>
      </w:pPr>
    </w:p>
  </w:footnote>
  <w:footnote w:id="2">
    <w:p w14:paraId="5D667C8F" w14:textId="77777777" w:rsidR="00E65ABB" w:rsidRDefault="00E65ABB" w:rsidP="00E65ABB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r w:rsidRPr="00327DB9">
        <w:rPr>
          <w:rFonts w:asciiTheme="minorHAnsi" w:hAnsiTheme="minorHAnsi" w:cstheme="minorHAnsi"/>
        </w:rPr>
        <w:t>Trabalhadores qualificados», trabalhadores com nível de qualificação igual ou superior a 6, nos termos definidos pelo Quadro Nacional de Qualificações, aprovado pela Portaria n.º 782/2009, de 23 de julho.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85301" w14:textId="77777777" w:rsidR="00A20E32" w:rsidRDefault="00A20E32" w:rsidP="00A20E32">
    <w:pPr>
      <w:pStyle w:val="Cabealho"/>
      <w:tabs>
        <w:tab w:val="clear" w:pos="4252"/>
        <w:tab w:val="clear" w:pos="8504"/>
        <w:tab w:val="left" w:pos="2670"/>
        <w:tab w:val="left" w:pos="6780"/>
      </w:tabs>
      <w:spacing w:after="240"/>
      <w:jc w:val="center"/>
      <w:rPr>
        <w:rFonts w:ascii="Trebuchet MS" w:hAnsi="Trebuchet MS" w:cs="Trebuchet MS"/>
        <w:b/>
        <w:bCs/>
        <w:noProof/>
        <w:sz w:val="22"/>
        <w:szCs w:val="12"/>
      </w:rPr>
    </w:pPr>
    <w:r>
      <w:rPr>
        <w:rFonts w:ascii="Trebuchet MS" w:hAnsi="Trebuchet MS" w:cs="Trebuchet MS"/>
        <w:b/>
        <w:bCs/>
        <w:noProof/>
        <w:sz w:val="22"/>
        <w:szCs w:val="12"/>
      </w:rPr>
      <w:drawing>
        <wp:inline distT="0" distB="0" distL="0" distR="0" wp14:anchorId="3D350A21" wp14:editId="36D279BE">
          <wp:extent cx="3078480" cy="262255"/>
          <wp:effectExtent l="0" t="0" r="7620" b="444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8480" cy="262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Trebuchet MS" w:hAnsi="Trebuchet MS" w:cs="Trebuchet MS"/>
        <w:b/>
        <w:bCs/>
        <w:noProof/>
        <w:sz w:val="22"/>
        <w:szCs w:val="12"/>
      </w:rPr>
      <w:drawing>
        <wp:inline distT="0" distB="0" distL="0" distR="0" wp14:anchorId="43953B20" wp14:editId="4F0A10F1">
          <wp:extent cx="737870" cy="304800"/>
          <wp:effectExtent l="0" t="0" r="508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7870" cy="30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AB0E370" w14:textId="79C8A2BE" w:rsidR="0004420F" w:rsidRDefault="0004420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6CEC8" w14:textId="77777777" w:rsidR="00A20E32" w:rsidRDefault="00A20E32" w:rsidP="00A20E32">
    <w:pPr>
      <w:pStyle w:val="Cabealho"/>
      <w:tabs>
        <w:tab w:val="clear" w:pos="4252"/>
        <w:tab w:val="clear" w:pos="8504"/>
        <w:tab w:val="left" w:pos="2670"/>
        <w:tab w:val="left" w:pos="6780"/>
      </w:tabs>
      <w:spacing w:after="240"/>
      <w:jc w:val="center"/>
      <w:rPr>
        <w:rFonts w:ascii="Trebuchet MS" w:hAnsi="Trebuchet MS" w:cs="Trebuchet MS"/>
        <w:b/>
        <w:bCs/>
        <w:noProof/>
        <w:sz w:val="22"/>
        <w:szCs w:val="12"/>
      </w:rPr>
    </w:pPr>
    <w:r>
      <w:rPr>
        <w:rFonts w:ascii="Trebuchet MS" w:hAnsi="Trebuchet MS" w:cs="Trebuchet MS"/>
        <w:b/>
        <w:bCs/>
        <w:noProof/>
        <w:sz w:val="22"/>
        <w:szCs w:val="12"/>
      </w:rPr>
      <w:drawing>
        <wp:inline distT="0" distB="0" distL="0" distR="0" wp14:anchorId="08C7C5A5" wp14:editId="72F60F7F">
          <wp:extent cx="3078480" cy="262255"/>
          <wp:effectExtent l="0" t="0" r="7620" b="4445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8480" cy="262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Trebuchet MS" w:hAnsi="Trebuchet MS" w:cs="Trebuchet MS"/>
        <w:b/>
        <w:bCs/>
        <w:noProof/>
        <w:sz w:val="22"/>
        <w:szCs w:val="12"/>
      </w:rPr>
      <w:drawing>
        <wp:inline distT="0" distB="0" distL="0" distR="0" wp14:anchorId="64BD830E" wp14:editId="55599D1B">
          <wp:extent cx="737870" cy="304800"/>
          <wp:effectExtent l="0" t="0" r="508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7870" cy="30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9AB64C1" w14:textId="6A232888" w:rsidR="0004420F" w:rsidRDefault="0004420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44B1A"/>
    <w:multiLevelType w:val="hybridMultilevel"/>
    <w:tmpl w:val="E37E0F64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DA305C"/>
    <w:multiLevelType w:val="hybridMultilevel"/>
    <w:tmpl w:val="11264AAA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100"/>
    <w:rsid w:val="0004420F"/>
    <w:rsid w:val="001C1EFF"/>
    <w:rsid w:val="002E1100"/>
    <w:rsid w:val="003A6B46"/>
    <w:rsid w:val="004235DD"/>
    <w:rsid w:val="006B0EDF"/>
    <w:rsid w:val="00A20E32"/>
    <w:rsid w:val="00B0741A"/>
    <w:rsid w:val="00C11FEE"/>
    <w:rsid w:val="00CA6BB0"/>
    <w:rsid w:val="00D85BE2"/>
    <w:rsid w:val="00E43167"/>
    <w:rsid w:val="00E65ABB"/>
    <w:rsid w:val="00E6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AC135"/>
  <w15:chartTrackingRefBased/>
  <w15:docId w15:val="{F90B14DC-DEAE-492F-8011-2A26FEB64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100"/>
    <w:pPr>
      <w:spacing w:after="0" w:line="240" w:lineRule="auto"/>
    </w:pPr>
    <w:rPr>
      <w:rFonts w:ascii="Verdana" w:eastAsia="Times New Roman" w:hAnsi="Verdana" w:cs="Verdana"/>
      <w:sz w:val="14"/>
      <w:szCs w:val="14"/>
      <w:lang w:eastAsia="pt-PT"/>
    </w:rPr>
  </w:style>
  <w:style w:type="paragraph" w:styleId="Ttulo1">
    <w:name w:val="heading 1"/>
    <w:basedOn w:val="Normal"/>
    <w:next w:val="Normal"/>
    <w:link w:val="Ttulo1Carter"/>
    <w:uiPriority w:val="99"/>
    <w:qFormat/>
    <w:rsid w:val="002E1100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9"/>
    <w:rsid w:val="002E1100"/>
    <w:rPr>
      <w:rFonts w:ascii="Cambria" w:eastAsia="Times New Roman" w:hAnsi="Cambria" w:cs="Cambria"/>
      <w:b/>
      <w:bCs/>
      <w:color w:val="365F91"/>
      <w:sz w:val="28"/>
      <w:szCs w:val="28"/>
      <w:lang w:eastAsia="pt-PT"/>
    </w:rPr>
  </w:style>
  <w:style w:type="table" w:styleId="TabelacomGrelha">
    <w:name w:val="Table Grid"/>
    <w:basedOn w:val="Tabelanormal"/>
    <w:uiPriority w:val="59"/>
    <w:rsid w:val="002E1100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11FEE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04420F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04420F"/>
    <w:rPr>
      <w:rFonts w:ascii="Verdana" w:eastAsia="Times New Roman" w:hAnsi="Verdana" w:cs="Verdana"/>
      <w:sz w:val="14"/>
      <w:szCs w:val="14"/>
      <w:lang w:eastAsia="pt-PT"/>
    </w:rPr>
  </w:style>
  <w:style w:type="paragraph" w:styleId="Rodap">
    <w:name w:val="footer"/>
    <w:basedOn w:val="Normal"/>
    <w:link w:val="RodapCarter"/>
    <w:uiPriority w:val="99"/>
    <w:unhideWhenUsed/>
    <w:rsid w:val="0004420F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04420F"/>
    <w:rPr>
      <w:rFonts w:ascii="Verdana" w:eastAsia="Times New Roman" w:hAnsi="Verdana" w:cs="Verdana"/>
      <w:sz w:val="14"/>
      <w:szCs w:val="14"/>
      <w:lang w:eastAsia="pt-PT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E65F90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E65F90"/>
    <w:rPr>
      <w:rFonts w:ascii="Verdana" w:eastAsia="Times New Roman" w:hAnsi="Verdana" w:cs="Verdana"/>
      <w:sz w:val="20"/>
      <w:szCs w:val="20"/>
      <w:lang w:eastAsia="pt-PT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E65F90"/>
    <w:rPr>
      <w:vertAlign w:val="superscript"/>
    </w:rPr>
  </w:style>
  <w:style w:type="character" w:styleId="Hiperligao">
    <w:name w:val="Hyperlink"/>
    <w:basedOn w:val="Tipodeletrapredefinidodopargrafo"/>
    <w:uiPriority w:val="99"/>
    <w:semiHidden/>
    <w:unhideWhenUsed/>
    <w:rsid w:val="00E65ABB"/>
    <w:rPr>
      <w:color w:val="0000FF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E65A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3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efp.pt/documents/10181/190358/Lista+CPP+_Contrato-Emprego+e+Est%C3%A1gios+Profissionais/3cd91cf8-d9d4-4aae-9561-c630ae32bc33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8F1A9-078D-4F4B-B56B-A9061D97A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1077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Mendes</dc:creator>
  <cp:keywords/>
  <dc:description/>
  <cp:lastModifiedBy>Francisco Mendes</cp:lastModifiedBy>
  <cp:revision>8</cp:revision>
  <dcterms:created xsi:type="dcterms:W3CDTF">2020-08-06T16:40:00Z</dcterms:created>
  <dcterms:modified xsi:type="dcterms:W3CDTF">2020-08-06T17:56:00Z</dcterms:modified>
</cp:coreProperties>
</file>