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747"/>
      </w:tblGrid>
      <w:tr w:rsidR="00671D21" w:rsidRPr="00E82780" w:rsidTr="00ED65C0">
        <w:trPr>
          <w:trHeight w:val="170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:rsidR="00671D21" w:rsidRPr="000A2C07" w:rsidRDefault="00671D21" w:rsidP="000A2C07">
            <w:pPr>
              <w:spacing w:before="60" w:after="60" w:line="240" w:lineRule="auto"/>
              <w:jc w:val="center"/>
              <w:rPr>
                <w:b/>
                <w:sz w:val="16"/>
              </w:rPr>
            </w:pPr>
            <w:r w:rsidRPr="00671D21">
              <w:rPr>
                <w:sz w:val="16"/>
              </w:rPr>
              <w:br w:type="page"/>
            </w:r>
            <w:r w:rsidRPr="00671D21">
              <w:rPr>
                <w:sz w:val="16"/>
              </w:rPr>
              <w:br w:type="page"/>
            </w:r>
            <w:r w:rsidRPr="00671D21">
              <w:rPr>
                <w:sz w:val="16"/>
              </w:rPr>
              <w:br w:type="page"/>
            </w:r>
            <w:r w:rsidRPr="000A2C07">
              <w:rPr>
                <w:b/>
                <w:sz w:val="16"/>
              </w:rPr>
              <w:t>Avaliação da Integração da Perspetiva da Igualdade entre Homens e Mulheres e Igualdade de Oportunidades e da não descriminação, em operações cofinanciadas</w:t>
            </w:r>
          </w:p>
        </w:tc>
      </w:tr>
    </w:tbl>
    <w:p w:rsidR="000A2C07" w:rsidRDefault="000A2C07" w:rsidP="000A2C07">
      <w:pPr>
        <w:spacing w:after="0"/>
      </w:pP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747"/>
      </w:tblGrid>
      <w:tr w:rsidR="000A2C07" w:rsidRPr="00C43B9C" w:rsidTr="000A2C07">
        <w:trPr>
          <w:trHeight w:val="170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:rsidR="000A2C07" w:rsidRPr="000A2C07" w:rsidRDefault="000A2C07" w:rsidP="006B4073">
            <w:pPr>
              <w:spacing w:before="40" w:after="40" w:line="240" w:lineRule="auto"/>
              <w:rPr>
                <w:b/>
                <w:i/>
                <w:sz w:val="16"/>
              </w:rPr>
            </w:pPr>
            <w:r w:rsidRPr="000A2C07">
              <w:rPr>
                <w:b/>
                <w:i/>
                <w:sz w:val="16"/>
              </w:rPr>
              <w:t>Identificação da Operação e do Beneficiário</w:t>
            </w:r>
          </w:p>
        </w:tc>
      </w:tr>
    </w:tbl>
    <w:p w:rsidR="000A2C07" w:rsidRPr="000A2C07" w:rsidRDefault="000A2C07" w:rsidP="00671D21">
      <w:pPr>
        <w:spacing w:after="0"/>
        <w:rPr>
          <w:sz w:val="4"/>
          <w:szCs w:val="4"/>
        </w:rPr>
      </w:pPr>
    </w:p>
    <w:tbl>
      <w:tblPr>
        <w:tblStyle w:val="TableGrid"/>
        <w:tblW w:w="0" w:type="auto"/>
        <w:tblBorders>
          <w:top w:val="single" w:sz="12" w:space="0" w:color="17365D" w:themeColor="text2" w:themeShade="BF"/>
          <w:left w:val="none" w:sz="0" w:space="0" w:color="auto"/>
          <w:bottom w:val="single" w:sz="12" w:space="0" w:color="17365D" w:themeColor="text2" w:themeShade="BF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417"/>
        <w:gridCol w:w="3544"/>
        <w:gridCol w:w="2410"/>
      </w:tblGrid>
      <w:tr w:rsidR="00671D21" w:rsidRPr="00E82780" w:rsidTr="00ED65C0">
        <w:trPr>
          <w:trHeight w:val="170"/>
        </w:trPr>
        <w:tc>
          <w:tcPr>
            <w:tcW w:w="2376" w:type="dxa"/>
            <w:tcBorders>
              <w:top w:val="single" w:sz="4" w:space="0" w:color="17365D" w:themeColor="text2" w:themeShade="BF"/>
              <w:bottom w:val="nil"/>
            </w:tcBorders>
            <w:shd w:val="clear" w:color="auto" w:fill="auto"/>
            <w:vAlign w:val="center"/>
          </w:tcPr>
          <w:p w:rsidR="00671D21" w:rsidRPr="00E82780" w:rsidRDefault="00671D21" w:rsidP="00ED65C0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 w:themeColor="text2" w:themeShade="BF"/>
              <w:bottom w:val="nil"/>
            </w:tcBorders>
            <w:vAlign w:val="center"/>
          </w:tcPr>
          <w:p w:rsidR="00671D21" w:rsidRPr="00E82780" w:rsidRDefault="00671D21" w:rsidP="00ED65C0">
            <w:pPr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NIF, a</w:t>
            </w:r>
            <w:r w:rsidRPr="00E82780">
              <w:rPr>
                <w:sz w:val="14"/>
                <w:szCs w:val="18"/>
              </w:rPr>
              <w:t>crónimo e/ou nome da entidade beneficiária</w:t>
            </w:r>
          </w:p>
        </w:tc>
      </w:tr>
      <w:tr w:rsidR="00671D21" w:rsidRPr="00E82780" w:rsidTr="00ED65C0">
        <w:trPr>
          <w:trHeight w:val="170"/>
        </w:trPr>
        <w:tc>
          <w:tcPr>
            <w:tcW w:w="2376" w:type="dxa"/>
            <w:tcBorders>
              <w:top w:val="nil"/>
            </w:tcBorders>
            <w:shd w:val="clear" w:color="auto" w:fill="auto"/>
            <w:vAlign w:val="center"/>
          </w:tcPr>
          <w:p w:rsidR="00671D21" w:rsidRPr="00E82780" w:rsidRDefault="00671D21" w:rsidP="00ED65C0">
            <w:pPr>
              <w:rPr>
                <w:b/>
                <w:sz w:val="14"/>
              </w:rPr>
            </w:pPr>
            <w:r>
              <w:rPr>
                <w:b/>
                <w:sz w:val="14"/>
              </w:rPr>
              <w:t>Nº da Candidatura (</w:t>
            </w:r>
            <w:r w:rsidRPr="00E82780">
              <w:rPr>
                <w:b/>
                <w:sz w:val="14"/>
              </w:rPr>
              <w:t>Código Universal</w:t>
            </w:r>
            <w:r>
              <w:rPr>
                <w:b/>
                <w:sz w:val="14"/>
              </w:rPr>
              <w:t>)</w:t>
            </w:r>
            <w:r w:rsidRPr="00E82780">
              <w:rPr>
                <w:b/>
                <w:sz w:val="14"/>
              </w:rPr>
              <w:t>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671D21" w:rsidRPr="00E82780" w:rsidRDefault="00671D21" w:rsidP="00ED65C0">
            <w:pPr>
              <w:rPr>
                <w:sz w:val="14"/>
                <w:szCs w:val="18"/>
              </w:rPr>
            </w:pPr>
            <w:proofErr w:type="gramStart"/>
            <w:r w:rsidRPr="00E82780">
              <w:rPr>
                <w:color w:val="000000"/>
                <w:sz w:val="14"/>
                <w:szCs w:val="18"/>
                <w:lang w:eastAsia="pt-PT"/>
              </w:rPr>
              <w:t>XXXXXX(PO</w:t>
            </w:r>
            <w:proofErr w:type="gramEnd"/>
            <w:r w:rsidRPr="00E82780">
              <w:rPr>
                <w:color w:val="000000"/>
                <w:sz w:val="14"/>
                <w:szCs w:val="18"/>
                <w:lang w:eastAsia="pt-PT"/>
              </w:rPr>
              <w:t>) – 99(Eixo) – 99999(PI/TI) -FUNDO (FEDER, FC, FSE, FEADER, FEAMP) – 999999</w:t>
            </w:r>
            <w:r>
              <w:rPr>
                <w:color w:val="000000"/>
                <w:sz w:val="14"/>
                <w:szCs w:val="18"/>
                <w:lang w:eastAsia="pt-PT"/>
              </w:rPr>
              <w:t xml:space="preserve"> </w:t>
            </w:r>
            <w:r w:rsidRPr="00E82780">
              <w:rPr>
                <w:color w:val="000000"/>
                <w:sz w:val="14"/>
                <w:szCs w:val="18"/>
                <w:lang w:eastAsia="pt-PT"/>
              </w:rPr>
              <w:t>(nº sequencial dentro do PO  e da TI)</w:t>
            </w:r>
          </w:p>
        </w:tc>
      </w:tr>
      <w:tr w:rsidR="00671D21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20706B" w:rsidRDefault="00671D21" w:rsidP="00ED65C0">
            <w:pPr>
              <w:rPr>
                <w:b/>
                <w:sz w:val="14"/>
              </w:rPr>
            </w:pPr>
            <w:r w:rsidRPr="0020706B">
              <w:rPr>
                <w:b/>
                <w:sz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671D21" w:rsidRPr="00E82780" w:rsidRDefault="00671D21" w:rsidP="00ED65C0">
            <w:pPr>
              <w:rPr>
                <w:color w:val="000000"/>
                <w:sz w:val="14"/>
                <w:szCs w:val="18"/>
                <w:lang w:eastAsia="pt-PT"/>
              </w:rPr>
            </w:pPr>
          </w:p>
        </w:tc>
      </w:tr>
      <w:tr w:rsidR="00671D21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101516" w:rsidRDefault="00671D21" w:rsidP="00ED65C0">
            <w:pPr>
              <w:rPr>
                <w:b/>
                <w:sz w:val="14"/>
                <w:highlight w:val="yellow"/>
              </w:rPr>
            </w:pPr>
            <w:r w:rsidRPr="00E82780">
              <w:rPr>
                <w:b/>
                <w:sz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671D21" w:rsidRPr="00E82780" w:rsidRDefault="00671D21" w:rsidP="00ED65C0">
            <w:pPr>
              <w:rPr>
                <w:color w:val="000000"/>
                <w:sz w:val="14"/>
                <w:szCs w:val="18"/>
                <w:lang w:eastAsia="pt-PT"/>
              </w:rPr>
            </w:pPr>
            <w:r>
              <w:rPr>
                <w:color w:val="000000"/>
                <w:sz w:val="14"/>
                <w:szCs w:val="18"/>
                <w:lang w:eastAsia="pt-PT"/>
              </w:rPr>
              <w:t>Número da TO</w:t>
            </w:r>
          </w:p>
        </w:tc>
      </w:tr>
      <w:tr w:rsidR="00671D21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E82780" w:rsidRDefault="00671D21" w:rsidP="00ED65C0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Concurso</w:t>
            </w:r>
            <w:r>
              <w:rPr>
                <w:b/>
                <w:sz w:val="14"/>
              </w:rPr>
              <w:t xml:space="preserve"> (Aviso)</w:t>
            </w:r>
            <w:r w:rsidRPr="00E82780">
              <w:rPr>
                <w:b/>
                <w:sz w:val="14"/>
              </w:rPr>
              <w:t>:</w:t>
            </w:r>
          </w:p>
        </w:tc>
        <w:tc>
          <w:tcPr>
            <w:tcW w:w="7371" w:type="dxa"/>
            <w:gridSpan w:val="3"/>
            <w:vAlign w:val="center"/>
          </w:tcPr>
          <w:p w:rsidR="00671D21" w:rsidRPr="00E82780" w:rsidRDefault="00671D21" w:rsidP="00ED65C0">
            <w:pPr>
              <w:rPr>
                <w:color w:val="000000"/>
                <w:sz w:val="14"/>
                <w:szCs w:val="18"/>
                <w:lang w:eastAsia="pt-PT"/>
              </w:rPr>
            </w:pPr>
            <w:r w:rsidRPr="00E82780">
              <w:rPr>
                <w:color w:val="000000"/>
                <w:sz w:val="14"/>
                <w:szCs w:val="18"/>
                <w:lang w:eastAsia="pt-PT"/>
              </w:rPr>
              <w:t xml:space="preserve">XXXXXX (PO) - </w:t>
            </w:r>
            <w:proofErr w:type="gramStart"/>
            <w:r w:rsidRPr="00E82780">
              <w:rPr>
                <w:color w:val="000000"/>
                <w:sz w:val="14"/>
                <w:szCs w:val="18"/>
                <w:lang w:eastAsia="pt-PT"/>
              </w:rPr>
              <w:t>99(TI</w:t>
            </w:r>
            <w:proofErr w:type="gramEnd"/>
            <w:r w:rsidRPr="00E82780">
              <w:rPr>
                <w:color w:val="000000"/>
                <w:sz w:val="14"/>
                <w:szCs w:val="18"/>
                <w:lang w:eastAsia="pt-PT"/>
              </w:rPr>
              <w:t>) - 9999(ANO) - 99(sequência no PO/Ano</w:t>
            </w:r>
            <w:r w:rsidRPr="00E82780">
              <w:rPr>
                <w:sz w:val="14"/>
                <w:szCs w:val="18"/>
              </w:rPr>
              <w:t>)</w:t>
            </w:r>
          </w:p>
        </w:tc>
      </w:tr>
      <w:tr w:rsidR="00671D21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623FAA" w:rsidRDefault="00671D21" w:rsidP="00ED65C0">
            <w:pPr>
              <w:rPr>
                <w:b/>
                <w:sz w:val="14"/>
              </w:rPr>
            </w:pPr>
            <w:r w:rsidRPr="00623FAA">
              <w:rPr>
                <w:b/>
                <w:sz w:val="14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671D21" w:rsidRPr="00A42772" w:rsidRDefault="00671D21" w:rsidP="00ED65C0">
            <w:pPr>
              <w:rPr>
                <w:sz w:val="14"/>
                <w:szCs w:val="18"/>
                <w:highlight w:val="yellow"/>
              </w:rPr>
            </w:pPr>
            <w:proofErr w:type="spellStart"/>
            <w:proofErr w:type="gramStart"/>
            <w:r w:rsidRPr="003D3E90">
              <w:rPr>
                <w:sz w:val="14"/>
                <w:szCs w:val="18"/>
              </w:rPr>
              <w:t>dd</w:t>
            </w:r>
            <w:proofErr w:type="spellEnd"/>
            <w:r w:rsidRPr="003D3E90">
              <w:rPr>
                <w:sz w:val="14"/>
                <w:szCs w:val="18"/>
              </w:rPr>
              <w:t>-mm-</w:t>
            </w:r>
            <w:proofErr w:type="spellStart"/>
            <w:r w:rsidRPr="003D3E90">
              <w:rPr>
                <w:sz w:val="14"/>
                <w:szCs w:val="18"/>
              </w:rPr>
              <w:t>aaaa</w:t>
            </w:r>
            <w:proofErr w:type="spellEnd"/>
            <w:proofErr w:type="gramEnd"/>
          </w:p>
        </w:tc>
      </w:tr>
      <w:tr w:rsidR="00671D21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E82780" w:rsidRDefault="00671D21" w:rsidP="00ED65C0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671D21" w:rsidRPr="00F83B1F" w:rsidRDefault="00671D21" w:rsidP="00ED65C0">
            <w:pPr>
              <w:rPr>
                <w:color w:val="000000"/>
                <w:sz w:val="14"/>
                <w:szCs w:val="18"/>
                <w:highlight w:val="yellow"/>
                <w:lang w:eastAsia="pt-PT"/>
              </w:rPr>
            </w:pPr>
            <w:proofErr w:type="spellStart"/>
            <w:proofErr w:type="gramStart"/>
            <w:r w:rsidRPr="003D3E90">
              <w:rPr>
                <w:sz w:val="14"/>
                <w:szCs w:val="18"/>
              </w:rPr>
              <w:t>dd</w:t>
            </w:r>
            <w:proofErr w:type="spellEnd"/>
            <w:r w:rsidRPr="003D3E90">
              <w:rPr>
                <w:sz w:val="14"/>
                <w:szCs w:val="18"/>
              </w:rPr>
              <w:t>-mm-</w:t>
            </w:r>
            <w:proofErr w:type="spellStart"/>
            <w:r w:rsidRPr="003D3E90">
              <w:rPr>
                <w:sz w:val="14"/>
                <w:szCs w:val="18"/>
              </w:rPr>
              <w:t>aaaa</w:t>
            </w:r>
            <w:proofErr w:type="spellEnd"/>
            <w:proofErr w:type="gramEnd"/>
          </w:p>
        </w:tc>
        <w:tc>
          <w:tcPr>
            <w:tcW w:w="3544" w:type="dxa"/>
            <w:vAlign w:val="center"/>
          </w:tcPr>
          <w:p w:rsidR="00671D21" w:rsidRPr="00E82780" w:rsidRDefault="00671D21" w:rsidP="00ED65C0">
            <w:pPr>
              <w:jc w:val="right"/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671D21" w:rsidRPr="00E82780" w:rsidRDefault="00671D21" w:rsidP="00ED65C0">
            <w:pPr>
              <w:rPr>
                <w:color w:val="000000"/>
                <w:sz w:val="14"/>
                <w:szCs w:val="18"/>
                <w:lang w:eastAsia="pt-PT"/>
              </w:rPr>
            </w:pPr>
            <w:proofErr w:type="spellStart"/>
            <w:proofErr w:type="gramStart"/>
            <w:r w:rsidRPr="003D3E90">
              <w:rPr>
                <w:sz w:val="14"/>
                <w:szCs w:val="18"/>
              </w:rPr>
              <w:t>dd</w:t>
            </w:r>
            <w:proofErr w:type="spellEnd"/>
            <w:r w:rsidRPr="003D3E90">
              <w:rPr>
                <w:sz w:val="14"/>
                <w:szCs w:val="18"/>
              </w:rPr>
              <w:t>-mm-</w:t>
            </w:r>
            <w:proofErr w:type="spellStart"/>
            <w:r w:rsidRPr="003D3E90">
              <w:rPr>
                <w:sz w:val="14"/>
                <w:szCs w:val="18"/>
              </w:rPr>
              <w:t>aaaa</w:t>
            </w:r>
            <w:proofErr w:type="spellEnd"/>
            <w:proofErr w:type="gramEnd"/>
          </w:p>
        </w:tc>
      </w:tr>
      <w:tr w:rsidR="00671D21" w:rsidRPr="00E82780" w:rsidTr="00ED65C0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 w:themeColor="text2" w:themeShade="BF"/>
            </w:tcBorders>
            <w:shd w:val="clear" w:color="auto" w:fill="auto"/>
            <w:vAlign w:val="center"/>
          </w:tcPr>
          <w:p w:rsidR="00671D21" w:rsidRPr="00E82780" w:rsidRDefault="00671D21" w:rsidP="00ED65C0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 w:themeColor="text2" w:themeShade="BF"/>
            </w:tcBorders>
            <w:vAlign w:val="center"/>
          </w:tcPr>
          <w:p w:rsidR="00671D21" w:rsidRPr="00F83B1F" w:rsidRDefault="00671D21" w:rsidP="00ED65C0">
            <w:pPr>
              <w:rPr>
                <w:color w:val="000000"/>
                <w:sz w:val="14"/>
                <w:szCs w:val="18"/>
                <w:highlight w:val="yellow"/>
                <w:lang w:eastAsia="pt-PT"/>
              </w:rPr>
            </w:pPr>
            <w:proofErr w:type="spellStart"/>
            <w:proofErr w:type="gramStart"/>
            <w:r w:rsidRPr="003D3E90">
              <w:rPr>
                <w:sz w:val="14"/>
                <w:szCs w:val="18"/>
              </w:rPr>
              <w:t>dd</w:t>
            </w:r>
            <w:proofErr w:type="spellEnd"/>
            <w:r w:rsidRPr="003D3E90">
              <w:rPr>
                <w:sz w:val="14"/>
                <w:szCs w:val="18"/>
              </w:rPr>
              <w:t>-mm-</w:t>
            </w:r>
            <w:proofErr w:type="spellStart"/>
            <w:r w:rsidRPr="003D3E90">
              <w:rPr>
                <w:sz w:val="14"/>
                <w:szCs w:val="18"/>
              </w:rPr>
              <w:t>aaaa</w:t>
            </w:r>
            <w:proofErr w:type="spellEnd"/>
            <w:proofErr w:type="gramEnd"/>
          </w:p>
        </w:tc>
      </w:tr>
    </w:tbl>
    <w:p w:rsidR="00671D21" w:rsidRDefault="00671D21" w:rsidP="00671D21">
      <w:pPr>
        <w:spacing w:after="0" w:line="240" w:lineRule="auto"/>
      </w:pPr>
    </w:p>
    <w:tbl>
      <w:tblPr>
        <w:tblW w:w="0" w:type="auto"/>
        <w:tbl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</w:tblBorders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747"/>
      </w:tblGrid>
      <w:tr w:rsidR="00671D21" w:rsidRPr="00E82780" w:rsidTr="00F64DA1">
        <w:trPr>
          <w:trHeight w:val="170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:rsidR="00671D21" w:rsidRPr="00671D21" w:rsidRDefault="00671D21" w:rsidP="00671D21">
            <w:pPr>
              <w:spacing w:before="60" w:after="0" w:line="240" w:lineRule="auto"/>
              <w:jc w:val="center"/>
              <w:rPr>
                <w:sz w:val="18"/>
              </w:rPr>
            </w:pPr>
            <w:r w:rsidRPr="00671D21">
              <w:rPr>
                <w:sz w:val="18"/>
              </w:rPr>
              <w:t>Igualdade entre Homens e Mulheres e Igualdade de Oportunidades e da não descriminação</w:t>
            </w:r>
          </w:p>
          <w:p w:rsidR="00671D21" w:rsidRPr="00671D21" w:rsidRDefault="00671D21" w:rsidP="00671D21">
            <w:pPr>
              <w:spacing w:after="0" w:line="240" w:lineRule="auto"/>
              <w:jc w:val="center"/>
              <w:rPr>
                <w:i/>
                <w:sz w:val="16"/>
              </w:rPr>
            </w:pPr>
            <w:r w:rsidRPr="00671D21">
              <w:rPr>
                <w:i/>
                <w:sz w:val="16"/>
              </w:rPr>
              <w:t>Regulamento (UE) n.º 1303/2013 do Parlamento Europeu e do Conselho, de 17 de Dezembro</w:t>
            </w:r>
          </w:p>
          <w:p w:rsidR="00671D21" w:rsidRPr="00671D21" w:rsidRDefault="00671D21" w:rsidP="00671D21">
            <w:pPr>
              <w:spacing w:after="60" w:line="240" w:lineRule="auto"/>
              <w:jc w:val="center"/>
              <w:rPr>
                <w:i/>
                <w:sz w:val="18"/>
              </w:rPr>
            </w:pPr>
            <w:r w:rsidRPr="00671D21">
              <w:rPr>
                <w:i/>
                <w:sz w:val="16"/>
              </w:rPr>
              <w:t>Regulamento (UE) n.º 1304/2013 do Parlamento Europeu e do Conselho, de 17 de Dezembro</w:t>
            </w:r>
          </w:p>
        </w:tc>
      </w:tr>
      <w:tr w:rsidR="00513AC2" w:rsidRPr="00E82780" w:rsidTr="00F64DA1">
        <w:trPr>
          <w:trHeight w:val="170"/>
        </w:trPr>
        <w:tc>
          <w:tcPr>
            <w:tcW w:w="9747" w:type="dxa"/>
            <w:shd w:val="clear" w:color="auto" w:fill="auto"/>
            <w:vAlign w:val="center"/>
          </w:tcPr>
          <w:p w:rsidR="00513AC2" w:rsidRPr="00F64DA1" w:rsidRDefault="00513AC2" w:rsidP="00513AC2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  <w:r w:rsidRPr="00F64DA1">
              <w:rPr>
                <w:b/>
                <w:sz w:val="16"/>
                <w:szCs w:val="16"/>
              </w:rPr>
              <w:t>Outra legislação aplicável:</w:t>
            </w:r>
            <w:r w:rsidRPr="00F64DA1">
              <w:rPr>
                <w:sz w:val="16"/>
                <w:szCs w:val="16"/>
              </w:rPr>
              <w:t xml:space="preserve"> Em anexo outra legislação nacional relevante no domínio da igualdade entre homens e mulheres e igualdade de oportunidades e da não discriminação</w:t>
            </w:r>
          </w:p>
        </w:tc>
      </w:tr>
    </w:tbl>
    <w:p w:rsidR="00671D21" w:rsidRDefault="00671D21" w:rsidP="00671D21">
      <w:pPr>
        <w:spacing w:after="0"/>
        <w:rPr>
          <w:i/>
          <w:sz w:val="8"/>
        </w:rPr>
      </w:pPr>
    </w:p>
    <w:tbl>
      <w:tblPr>
        <w:tblW w:w="9756" w:type="dxa"/>
        <w:tblLayout w:type="fixed"/>
        <w:tblLook w:val="04A0" w:firstRow="1" w:lastRow="0" w:firstColumn="1" w:lastColumn="0" w:noHBand="0" w:noVBand="1"/>
      </w:tblPr>
      <w:tblGrid>
        <w:gridCol w:w="3510"/>
        <w:gridCol w:w="425"/>
        <w:gridCol w:w="425"/>
        <w:gridCol w:w="426"/>
        <w:gridCol w:w="2126"/>
        <w:gridCol w:w="1418"/>
        <w:gridCol w:w="1417"/>
        <w:gridCol w:w="9"/>
      </w:tblGrid>
      <w:tr w:rsidR="000A2C07" w:rsidRPr="000A2C07" w:rsidTr="00F64DA1">
        <w:tc>
          <w:tcPr>
            <w:tcW w:w="3510" w:type="dxa"/>
            <w:vMerge w:val="restart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6B4073">
            <w:pPr>
              <w:spacing w:before="60" w:after="60"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Questão a verificar</w:t>
            </w:r>
            <w:r w:rsidR="006B4073">
              <w:rPr>
                <w:b/>
                <w:sz w:val="16"/>
                <w:szCs w:val="16"/>
              </w:rPr>
              <w:br/>
            </w:r>
            <w:r w:rsidR="006B4073" w:rsidRPr="006B4073">
              <w:rPr>
                <w:b/>
                <w:i/>
                <w:sz w:val="16"/>
                <w:szCs w:val="16"/>
              </w:rPr>
              <w:t>A operação é abrangida:</w:t>
            </w:r>
          </w:p>
        </w:tc>
        <w:tc>
          <w:tcPr>
            <w:tcW w:w="3402" w:type="dxa"/>
            <w:gridSpan w:val="4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6B4073">
              <w:rPr>
                <w:b/>
                <w:color w:val="FFFFFF" w:themeColor="background1"/>
                <w:sz w:val="16"/>
                <w:szCs w:val="16"/>
              </w:rPr>
              <w:t>A preencher pelos beneficiários</w:t>
            </w:r>
          </w:p>
        </w:tc>
        <w:tc>
          <w:tcPr>
            <w:tcW w:w="2844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6B4073">
              <w:rPr>
                <w:b/>
                <w:color w:val="FFFFFF" w:themeColor="background1"/>
                <w:sz w:val="16"/>
                <w:szCs w:val="16"/>
              </w:rPr>
              <w:t>A preencher pelas AG</w:t>
            </w:r>
          </w:p>
        </w:tc>
      </w:tr>
      <w:tr w:rsidR="00F64DA1" w:rsidRPr="000A2C07" w:rsidTr="00F64DA1">
        <w:trPr>
          <w:gridAfter w:val="1"/>
          <w:wAfter w:w="9" w:type="dxa"/>
        </w:trPr>
        <w:tc>
          <w:tcPr>
            <w:tcW w:w="3510" w:type="dxa"/>
            <w:vMerge/>
            <w:tcBorders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S</w:t>
            </w:r>
          </w:p>
        </w:tc>
        <w:tc>
          <w:tcPr>
            <w:tcW w:w="42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N</w:t>
            </w:r>
          </w:p>
        </w:tc>
        <w:tc>
          <w:tcPr>
            <w:tcW w:w="42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0A2C07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proofErr w:type="gramStart"/>
            <w:r w:rsidRPr="006B4073">
              <w:rPr>
                <w:b/>
                <w:sz w:val="16"/>
                <w:szCs w:val="16"/>
              </w:rPr>
              <w:t>NA</w:t>
            </w:r>
            <w:proofErr w:type="gramEnd"/>
          </w:p>
        </w:tc>
        <w:tc>
          <w:tcPr>
            <w:tcW w:w="212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6B4073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Evidência documental</w:t>
            </w:r>
            <w:r w:rsidR="006B4073">
              <w:rPr>
                <w:b/>
                <w:sz w:val="16"/>
                <w:szCs w:val="16"/>
              </w:rPr>
              <w:br/>
            </w:r>
            <w:proofErr w:type="gramStart"/>
            <w:r w:rsidRPr="006B4073">
              <w:rPr>
                <w:b/>
                <w:sz w:val="12"/>
                <w:szCs w:val="12"/>
              </w:rPr>
              <w:t>(em</w:t>
            </w:r>
            <w:proofErr w:type="gramEnd"/>
            <w:r w:rsidRPr="006B4073">
              <w:rPr>
                <w:b/>
                <w:sz w:val="12"/>
                <w:szCs w:val="12"/>
              </w:rPr>
              <w:t xml:space="preserve"> anexo)</w:t>
            </w:r>
          </w:p>
        </w:tc>
        <w:tc>
          <w:tcPr>
            <w:tcW w:w="141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Verificação pela AG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Observações</w:t>
            </w:r>
          </w:p>
        </w:tc>
      </w:tr>
      <w:tr w:rsidR="00513AC2" w:rsidRPr="00472D2F" w:rsidTr="00F64DA1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513AC2" w:rsidRPr="00513AC2" w:rsidRDefault="00513AC2" w:rsidP="00513AC2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>
              <w:rPr>
                <w:i/>
                <w:sz w:val="16"/>
              </w:rPr>
              <w:t>Avaliação Global</w:t>
            </w:r>
          </w:p>
        </w:tc>
      </w:tr>
      <w:tr w:rsidR="00513AC2" w:rsidRPr="000A2C07" w:rsidTr="00F64DA1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F64DA1" w:rsidRDefault="00623FAA" w:rsidP="006B4073">
            <w:pPr>
              <w:spacing w:before="40" w:after="40" w:line="240" w:lineRule="auto"/>
              <w:ind w:left="142"/>
              <w:jc w:val="both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A</w:t>
            </w:r>
            <w:r w:rsidR="00F64DA1" w:rsidRPr="00F64DA1">
              <w:rPr>
                <w:sz w:val="14"/>
                <w:szCs w:val="16"/>
              </w:rPr>
              <w:t xml:space="preserve"> </w:t>
            </w:r>
            <w:r>
              <w:rPr>
                <w:sz w:val="14"/>
                <w:szCs w:val="16"/>
              </w:rPr>
              <w:t>Operação</w:t>
            </w:r>
            <w:r w:rsidR="00F64DA1" w:rsidRPr="00F64DA1">
              <w:rPr>
                <w:sz w:val="14"/>
                <w:szCs w:val="16"/>
              </w:rPr>
              <w:t xml:space="preserve"> teve em conta as prioridades nacionais e/ou Europeias em matéria de igualdade de género?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0A2C07" w:rsidRDefault="00513AC2" w:rsidP="00F64DA1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0A2C07" w:rsidRDefault="00513AC2" w:rsidP="00F64DA1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0A2C07" w:rsidRDefault="00513AC2" w:rsidP="00F64DA1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0A2C07" w:rsidRDefault="00513AC2" w:rsidP="00F64DA1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0A2C07" w:rsidRDefault="00513AC2" w:rsidP="00F64DA1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0A2C07" w:rsidRDefault="00513AC2" w:rsidP="00F64DA1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</w:tr>
      <w:tr w:rsidR="00F64DA1" w:rsidRPr="000A2C07" w:rsidTr="00F64DA1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F64DA1" w:rsidRDefault="00F64DA1" w:rsidP="006B4073">
            <w:pPr>
              <w:spacing w:before="40" w:after="40" w:line="240" w:lineRule="auto"/>
              <w:ind w:left="142"/>
              <w:jc w:val="both"/>
              <w:rPr>
                <w:sz w:val="14"/>
                <w:szCs w:val="16"/>
              </w:rPr>
            </w:pPr>
            <w:r w:rsidRPr="00F64DA1">
              <w:rPr>
                <w:sz w:val="14"/>
                <w:szCs w:val="16"/>
              </w:rPr>
              <w:t>A organização dispõe de indicadores numéricos e qualitativos desagregados por sexo?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0A2C07" w:rsidRDefault="00F64DA1" w:rsidP="00F64DA1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0A2C07" w:rsidRDefault="00F64DA1" w:rsidP="00F64DA1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0A2C07" w:rsidRDefault="00F64DA1" w:rsidP="00F64DA1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0A2C07" w:rsidRDefault="00F64DA1" w:rsidP="00F64DA1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0A2C07" w:rsidRDefault="00F64DA1" w:rsidP="00F64DA1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0A2C07" w:rsidRDefault="00F64DA1" w:rsidP="00F64DA1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</w:tr>
      <w:tr w:rsidR="00F64DA1" w:rsidRPr="00472D2F" w:rsidTr="00ED65C0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F64DA1" w:rsidRPr="00513AC2" w:rsidRDefault="00F64DA1" w:rsidP="00ED65C0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 w:rsidRPr="00F64DA1">
              <w:rPr>
                <w:i/>
                <w:sz w:val="16"/>
              </w:rPr>
              <w:t>Igualdade no acesso ao emprego, no trabalho e na formação profissional</w:t>
            </w:r>
          </w:p>
        </w:tc>
      </w:tr>
      <w:tr w:rsidR="00F64DA1" w:rsidRPr="000A2C07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12628C" w:rsidRDefault="00F64DA1" w:rsidP="006B4073">
            <w:pPr>
              <w:spacing w:before="40" w:after="40" w:line="240" w:lineRule="auto"/>
              <w:ind w:left="142"/>
              <w:jc w:val="both"/>
              <w:rPr>
                <w:sz w:val="14"/>
                <w:szCs w:val="14"/>
              </w:rPr>
            </w:pPr>
            <w:r w:rsidRPr="0012628C">
              <w:rPr>
                <w:rFonts w:cs="Arial"/>
                <w:color w:val="262626"/>
                <w:sz w:val="14"/>
                <w:szCs w:val="14"/>
                <w:lang w:eastAsia="pt-PT"/>
              </w:rPr>
              <w:t>Foram previstas ações destinadas a reforçar a perspetiva de género na organização, isto é, foi promovida uma gestão igualitária e não discriminatória dos recursos humanos?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</w:tr>
      <w:tr w:rsidR="00F64DA1" w:rsidRPr="000A2C07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12628C" w:rsidRDefault="00623FAA" w:rsidP="00623FAA">
            <w:pPr>
              <w:spacing w:before="40" w:after="40" w:line="240" w:lineRule="auto"/>
              <w:ind w:left="142"/>
              <w:jc w:val="both"/>
              <w:rPr>
                <w:sz w:val="14"/>
                <w:szCs w:val="14"/>
              </w:rPr>
            </w:pPr>
            <w:r w:rsidRPr="0012628C">
              <w:rPr>
                <w:rFonts w:cs="Arial"/>
                <w:color w:val="262626"/>
                <w:sz w:val="14"/>
                <w:szCs w:val="14"/>
                <w:lang w:eastAsia="pt-PT"/>
              </w:rPr>
              <w:t>A</w:t>
            </w:r>
            <w:r w:rsidR="00F64DA1" w:rsidRPr="0012628C">
              <w:rPr>
                <w:rFonts w:cs="Arial"/>
                <w:color w:val="262626"/>
                <w:sz w:val="14"/>
                <w:szCs w:val="14"/>
                <w:lang w:eastAsia="pt-PT"/>
              </w:rPr>
              <w:t xml:space="preserve"> </w:t>
            </w:r>
            <w:r w:rsidRPr="0012628C">
              <w:rPr>
                <w:rFonts w:cs="Arial"/>
                <w:color w:val="262626"/>
                <w:sz w:val="14"/>
                <w:szCs w:val="14"/>
                <w:lang w:eastAsia="pt-PT"/>
              </w:rPr>
              <w:t>Operação</w:t>
            </w:r>
            <w:r w:rsidR="00F64DA1" w:rsidRPr="0012628C">
              <w:rPr>
                <w:rFonts w:cs="Arial"/>
                <w:color w:val="262626"/>
                <w:sz w:val="14"/>
                <w:szCs w:val="14"/>
                <w:lang w:eastAsia="pt-PT"/>
              </w:rPr>
              <w:t xml:space="preserve"> promoveu a igualdade salarial entre mulheres e homens?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</w:tr>
      <w:tr w:rsidR="00F64DA1" w:rsidRPr="000A2C07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12628C" w:rsidRDefault="00F64DA1" w:rsidP="006B4073">
            <w:pPr>
              <w:spacing w:before="40" w:after="40" w:line="240" w:lineRule="auto"/>
              <w:ind w:left="142"/>
              <w:jc w:val="both"/>
              <w:rPr>
                <w:rFonts w:cs="Arial"/>
                <w:color w:val="262626"/>
                <w:sz w:val="14"/>
                <w:szCs w:val="14"/>
                <w:lang w:eastAsia="pt-PT"/>
              </w:rPr>
            </w:pPr>
            <w:r w:rsidRPr="0012628C">
              <w:rPr>
                <w:rFonts w:cs="Arial"/>
                <w:color w:val="262626"/>
                <w:sz w:val="14"/>
                <w:szCs w:val="14"/>
                <w:lang w:eastAsia="pt-PT"/>
              </w:rPr>
              <w:t>Foram estabelecidos mecanismos e estratégias para aumentar a proporção do sexo sub-representado nos processos de decisão?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</w:tr>
      <w:tr w:rsidR="00F64DA1" w:rsidRPr="000A2C07" w:rsidTr="007C3B65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</w:tcPr>
          <w:p w:rsidR="00F64DA1" w:rsidRPr="0012628C" w:rsidRDefault="00F64DA1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000000"/>
                <w:sz w:val="14"/>
                <w:szCs w:val="14"/>
              </w:rPr>
            </w:pPr>
            <w:r w:rsidRPr="0012628C">
              <w:rPr>
                <w:rFonts w:cs="Arial"/>
                <w:color w:val="262626"/>
                <w:sz w:val="14"/>
                <w:szCs w:val="14"/>
                <w:lang w:eastAsia="pt-PT"/>
              </w:rPr>
              <w:t>Foi utilizada linguagem não-sexista e inclusiva na comunicação interna e externa?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</w:tr>
      <w:tr w:rsidR="00F64DA1" w:rsidRPr="00472D2F" w:rsidTr="00ED65C0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F64DA1" w:rsidRPr="006B4073" w:rsidRDefault="00F64DA1" w:rsidP="006B4073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 w:rsidRPr="006B4073">
              <w:rPr>
                <w:i/>
                <w:sz w:val="16"/>
              </w:rPr>
              <w:t>Promoção da conciliação da vida profissional e familiar</w:t>
            </w:r>
          </w:p>
        </w:tc>
      </w:tr>
      <w:tr w:rsidR="00F64DA1" w:rsidRPr="000A2C07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12628C" w:rsidRDefault="00F64DA1" w:rsidP="006B4073">
            <w:pPr>
              <w:spacing w:before="40" w:after="40" w:line="240" w:lineRule="auto"/>
              <w:ind w:left="142"/>
              <w:jc w:val="both"/>
              <w:rPr>
                <w:sz w:val="14"/>
                <w:szCs w:val="14"/>
              </w:rPr>
            </w:pPr>
            <w:r w:rsidRPr="0012628C">
              <w:rPr>
                <w:rFonts w:cs="Arial"/>
                <w:color w:val="262626"/>
                <w:sz w:val="14"/>
                <w:szCs w:val="14"/>
                <w:lang w:eastAsia="pt-PT"/>
              </w:rPr>
              <w:t>Foram previstas ações destinadas a facilitar a conciliação entre a vida profissional, familiar e pessoal?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</w:tr>
      <w:tr w:rsidR="00F64DA1" w:rsidRPr="000A2C07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12628C" w:rsidRDefault="00F64DA1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rFonts w:cs="Arial"/>
                <w:color w:val="262626"/>
                <w:sz w:val="14"/>
                <w:szCs w:val="14"/>
                <w:lang w:eastAsia="pt-PT"/>
              </w:rPr>
            </w:pPr>
            <w:r w:rsidRPr="0012628C">
              <w:rPr>
                <w:rFonts w:cs="Arial"/>
                <w:color w:val="262626"/>
                <w:sz w:val="14"/>
                <w:szCs w:val="14"/>
                <w:lang w:eastAsia="pt-PT"/>
              </w:rPr>
              <w:t xml:space="preserve">Foram desenvolvidas ações de apoio a uma </w:t>
            </w:r>
            <w:proofErr w:type="spellStart"/>
            <w:r w:rsidRPr="0012628C">
              <w:rPr>
                <w:rFonts w:cs="Arial"/>
                <w:color w:val="262626"/>
                <w:sz w:val="14"/>
                <w:szCs w:val="14"/>
                <w:lang w:eastAsia="pt-PT"/>
              </w:rPr>
              <w:t>parentalidade</w:t>
            </w:r>
            <w:proofErr w:type="spellEnd"/>
            <w:r w:rsidRPr="0012628C">
              <w:rPr>
                <w:rFonts w:cs="Arial"/>
                <w:color w:val="262626"/>
                <w:sz w:val="14"/>
                <w:szCs w:val="14"/>
                <w:lang w:eastAsia="pt-PT"/>
              </w:rPr>
              <w:t xml:space="preserve"> responsável, em conformidade e respeito pelas diferentes formas de organização familiar?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0A2C07" w:rsidRDefault="00F64DA1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</w:tr>
      <w:tr w:rsidR="006B4073" w:rsidRPr="00472D2F" w:rsidTr="00ED65C0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6B4073" w:rsidRPr="006B4073" w:rsidRDefault="006B4073" w:rsidP="00ED65C0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 w:rsidRPr="006B4073">
              <w:rPr>
                <w:i/>
                <w:sz w:val="16"/>
              </w:rPr>
              <w:t>Prevenção de práticas discriminatórias</w:t>
            </w:r>
          </w:p>
        </w:tc>
      </w:tr>
      <w:tr w:rsidR="006B4073" w:rsidRPr="000A2C07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12628C" w:rsidRDefault="006B4073" w:rsidP="006B4073">
            <w:pPr>
              <w:spacing w:before="40" w:after="40" w:line="240" w:lineRule="auto"/>
              <w:ind w:left="142"/>
              <w:jc w:val="both"/>
              <w:rPr>
                <w:sz w:val="14"/>
                <w:szCs w:val="14"/>
              </w:rPr>
            </w:pPr>
            <w:r w:rsidRPr="0012628C">
              <w:rPr>
                <w:sz w:val="14"/>
                <w:szCs w:val="14"/>
              </w:rPr>
              <w:t>Foram adotadas orientações e/ou procedimentos que promovam a utilização de linguagem não sexista e inclusiva na comunicação interna e externa?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0A2C07" w:rsidRDefault="006B4073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0A2C07" w:rsidRDefault="006B4073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0A2C07" w:rsidRDefault="006B4073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0A2C07" w:rsidRDefault="006B4073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0A2C07" w:rsidRDefault="006B4073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0A2C07" w:rsidRDefault="006B4073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</w:tr>
      <w:tr w:rsidR="006B4073" w:rsidRPr="000A2C07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12628C" w:rsidRDefault="006B4073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rFonts w:cs="Arial"/>
                <w:color w:val="262626"/>
                <w:sz w:val="14"/>
                <w:szCs w:val="14"/>
                <w:lang w:eastAsia="pt-PT"/>
              </w:rPr>
            </w:pPr>
            <w:r w:rsidRPr="0012628C">
              <w:rPr>
                <w:sz w:val="14"/>
                <w:szCs w:val="14"/>
              </w:rPr>
              <w:t>Foram desenvolvidas medidas de prevenção a situações de assédio, nomeadamente comportamentos indesejados com o objetivo de perturbar ou constranger a pessoa, afetar a sua dignidade ou de lhe criar um ambiente intimidativo, hostil, degradante, humilhante ou desestabilizador?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0A2C07" w:rsidRDefault="006B4073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0A2C07" w:rsidRDefault="006B4073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0A2C07" w:rsidRDefault="006B4073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0A2C07" w:rsidRDefault="006B4073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0A2C07" w:rsidRDefault="006B4073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0A2C07" w:rsidRDefault="006B4073" w:rsidP="00ED65C0">
            <w:pPr>
              <w:spacing w:before="40" w:after="40" w:line="240" w:lineRule="auto"/>
              <w:jc w:val="center"/>
              <w:rPr>
                <w:b/>
                <w:sz w:val="14"/>
                <w:szCs w:val="16"/>
              </w:rPr>
            </w:pPr>
          </w:p>
        </w:tc>
      </w:tr>
    </w:tbl>
    <w:p w:rsidR="00671D21" w:rsidRDefault="00671D21">
      <w:pPr>
        <w:rPr>
          <w:sz w:val="16"/>
        </w:rPr>
      </w:pPr>
      <w:r>
        <w:rPr>
          <w:sz w:val="16"/>
        </w:rPr>
        <w:br w:type="page"/>
      </w:r>
    </w:p>
    <w:p w:rsidR="009E03B0" w:rsidRPr="007572C3" w:rsidRDefault="009E03B0" w:rsidP="00DE52A8">
      <w:pPr>
        <w:spacing w:after="120"/>
        <w:jc w:val="center"/>
        <w:rPr>
          <w:b/>
        </w:rPr>
      </w:pPr>
      <w:r w:rsidRPr="007572C3">
        <w:rPr>
          <w:b/>
        </w:rPr>
        <w:lastRenderedPageBreak/>
        <w:t>Anexos</w:t>
      </w: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747"/>
      </w:tblGrid>
      <w:tr w:rsidR="006B4073" w:rsidRPr="00C43B9C" w:rsidTr="00ED65C0">
        <w:trPr>
          <w:trHeight w:val="170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:rsidR="006B4073" w:rsidRPr="000A2C07" w:rsidRDefault="006B4073" w:rsidP="006B4073">
            <w:pPr>
              <w:spacing w:before="40" w:after="40" w:line="240" w:lineRule="auto"/>
              <w:rPr>
                <w:b/>
                <w:i/>
                <w:sz w:val="16"/>
              </w:rPr>
            </w:pPr>
            <w:r w:rsidRPr="000A2C07">
              <w:rPr>
                <w:b/>
                <w:i/>
                <w:sz w:val="16"/>
              </w:rPr>
              <w:t>Identificação da Operação e do Beneficiário</w:t>
            </w:r>
          </w:p>
        </w:tc>
      </w:tr>
    </w:tbl>
    <w:p w:rsidR="006B4073" w:rsidRPr="000A2C07" w:rsidRDefault="006B4073" w:rsidP="006B4073">
      <w:pPr>
        <w:spacing w:after="0"/>
        <w:rPr>
          <w:sz w:val="4"/>
          <w:szCs w:val="4"/>
        </w:rPr>
      </w:pPr>
    </w:p>
    <w:tbl>
      <w:tblPr>
        <w:tblStyle w:val="TableGrid"/>
        <w:tblW w:w="0" w:type="auto"/>
        <w:tblBorders>
          <w:top w:val="single" w:sz="12" w:space="0" w:color="17365D" w:themeColor="text2" w:themeShade="BF"/>
          <w:left w:val="none" w:sz="0" w:space="0" w:color="auto"/>
          <w:bottom w:val="single" w:sz="12" w:space="0" w:color="17365D" w:themeColor="text2" w:themeShade="BF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417"/>
        <w:gridCol w:w="3544"/>
        <w:gridCol w:w="2410"/>
      </w:tblGrid>
      <w:tr w:rsidR="006B4073" w:rsidRPr="00E82780" w:rsidTr="00ED65C0">
        <w:trPr>
          <w:trHeight w:val="170"/>
        </w:trPr>
        <w:tc>
          <w:tcPr>
            <w:tcW w:w="2376" w:type="dxa"/>
            <w:tcBorders>
              <w:top w:val="single" w:sz="4" w:space="0" w:color="17365D" w:themeColor="text2" w:themeShade="BF"/>
              <w:bottom w:val="nil"/>
            </w:tcBorders>
            <w:shd w:val="clear" w:color="auto" w:fill="auto"/>
            <w:vAlign w:val="center"/>
          </w:tcPr>
          <w:p w:rsidR="006B4073" w:rsidRPr="00E82780" w:rsidRDefault="006B4073" w:rsidP="00ED65C0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 w:themeColor="text2" w:themeShade="BF"/>
              <w:bottom w:val="nil"/>
            </w:tcBorders>
            <w:vAlign w:val="center"/>
          </w:tcPr>
          <w:p w:rsidR="006B4073" w:rsidRPr="00E82780" w:rsidRDefault="006B4073" w:rsidP="00ED65C0">
            <w:pPr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NIF, a</w:t>
            </w:r>
            <w:r w:rsidRPr="00E82780">
              <w:rPr>
                <w:sz w:val="14"/>
                <w:szCs w:val="18"/>
              </w:rPr>
              <w:t>crónimo e/ou nome da entidade beneficiária</w:t>
            </w:r>
          </w:p>
        </w:tc>
      </w:tr>
      <w:tr w:rsidR="006B4073" w:rsidRPr="00E82780" w:rsidTr="00ED65C0">
        <w:trPr>
          <w:trHeight w:val="170"/>
        </w:trPr>
        <w:tc>
          <w:tcPr>
            <w:tcW w:w="2376" w:type="dxa"/>
            <w:tcBorders>
              <w:top w:val="nil"/>
            </w:tcBorders>
            <w:shd w:val="clear" w:color="auto" w:fill="auto"/>
            <w:vAlign w:val="center"/>
          </w:tcPr>
          <w:p w:rsidR="006B4073" w:rsidRPr="00E82780" w:rsidRDefault="006B4073" w:rsidP="00ED65C0">
            <w:pPr>
              <w:rPr>
                <w:b/>
                <w:sz w:val="14"/>
              </w:rPr>
            </w:pPr>
            <w:r>
              <w:rPr>
                <w:b/>
                <w:sz w:val="14"/>
              </w:rPr>
              <w:t>Nº da Candidatura (</w:t>
            </w:r>
            <w:r w:rsidRPr="00E82780">
              <w:rPr>
                <w:b/>
                <w:sz w:val="14"/>
              </w:rPr>
              <w:t>Código Universal</w:t>
            </w:r>
            <w:r>
              <w:rPr>
                <w:b/>
                <w:sz w:val="14"/>
              </w:rPr>
              <w:t>)</w:t>
            </w:r>
            <w:r w:rsidRPr="00E82780">
              <w:rPr>
                <w:b/>
                <w:sz w:val="14"/>
              </w:rPr>
              <w:t>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6B4073" w:rsidRPr="00E82780" w:rsidRDefault="006B4073" w:rsidP="00ED65C0">
            <w:pPr>
              <w:rPr>
                <w:sz w:val="14"/>
                <w:szCs w:val="18"/>
              </w:rPr>
            </w:pPr>
            <w:proofErr w:type="gramStart"/>
            <w:r w:rsidRPr="00E82780">
              <w:rPr>
                <w:color w:val="000000"/>
                <w:sz w:val="14"/>
                <w:szCs w:val="18"/>
                <w:lang w:eastAsia="pt-PT"/>
              </w:rPr>
              <w:t>XXXXXX(PO</w:t>
            </w:r>
            <w:proofErr w:type="gramEnd"/>
            <w:r w:rsidRPr="00E82780">
              <w:rPr>
                <w:color w:val="000000"/>
                <w:sz w:val="14"/>
                <w:szCs w:val="18"/>
                <w:lang w:eastAsia="pt-PT"/>
              </w:rPr>
              <w:t>) – 99(Eixo) – 99999(PI/TI) -FUNDO (FEDER, FC, FSE, FEADER, FEAMP) – 999999</w:t>
            </w:r>
            <w:r>
              <w:rPr>
                <w:color w:val="000000"/>
                <w:sz w:val="14"/>
                <w:szCs w:val="18"/>
                <w:lang w:eastAsia="pt-PT"/>
              </w:rPr>
              <w:t xml:space="preserve"> </w:t>
            </w:r>
            <w:r w:rsidRPr="00E82780">
              <w:rPr>
                <w:color w:val="000000"/>
                <w:sz w:val="14"/>
                <w:szCs w:val="18"/>
                <w:lang w:eastAsia="pt-PT"/>
              </w:rPr>
              <w:t>(nº sequencial dentro do PO  e da TI)</w:t>
            </w:r>
          </w:p>
        </w:tc>
      </w:tr>
      <w:tr w:rsidR="006B4073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B4073" w:rsidRPr="0020706B" w:rsidRDefault="006B4073" w:rsidP="00ED65C0">
            <w:pPr>
              <w:rPr>
                <w:b/>
                <w:sz w:val="14"/>
              </w:rPr>
            </w:pPr>
            <w:r w:rsidRPr="0020706B">
              <w:rPr>
                <w:b/>
                <w:sz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6B4073" w:rsidRPr="00E82780" w:rsidRDefault="006B4073" w:rsidP="00ED65C0">
            <w:pPr>
              <w:rPr>
                <w:color w:val="000000"/>
                <w:sz w:val="14"/>
                <w:szCs w:val="18"/>
                <w:lang w:eastAsia="pt-PT"/>
              </w:rPr>
            </w:pPr>
          </w:p>
        </w:tc>
      </w:tr>
      <w:tr w:rsidR="006B4073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B4073" w:rsidRPr="00101516" w:rsidRDefault="006B4073" w:rsidP="00ED65C0">
            <w:pPr>
              <w:rPr>
                <w:b/>
                <w:sz w:val="14"/>
                <w:highlight w:val="yellow"/>
              </w:rPr>
            </w:pPr>
            <w:r w:rsidRPr="00E82780">
              <w:rPr>
                <w:b/>
                <w:sz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6B4073" w:rsidRPr="00E82780" w:rsidRDefault="006B4073" w:rsidP="00ED65C0">
            <w:pPr>
              <w:rPr>
                <w:color w:val="000000"/>
                <w:sz w:val="14"/>
                <w:szCs w:val="18"/>
                <w:lang w:eastAsia="pt-PT"/>
              </w:rPr>
            </w:pPr>
            <w:r>
              <w:rPr>
                <w:color w:val="000000"/>
                <w:sz w:val="14"/>
                <w:szCs w:val="18"/>
                <w:lang w:eastAsia="pt-PT"/>
              </w:rPr>
              <w:t>Número da TO</w:t>
            </w:r>
          </w:p>
        </w:tc>
      </w:tr>
      <w:tr w:rsidR="006B4073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B4073" w:rsidRPr="00E82780" w:rsidRDefault="006B4073" w:rsidP="00ED65C0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Concurso</w:t>
            </w:r>
            <w:r>
              <w:rPr>
                <w:b/>
                <w:sz w:val="14"/>
              </w:rPr>
              <w:t xml:space="preserve"> (Aviso)</w:t>
            </w:r>
            <w:r w:rsidRPr="00E82780">
              <w:rPr>
                <w:b/>
                <w:sz w:val="14"/>
              </w:rPr>
              <w:t>:</w:t>
            </w:r>
          </w:p>
        </w:tc>
        <w:tc>
          <w:tcPr>
            <w:tcW w:w="7371" w:type="dxa"/>
            <w:gridSpan w:val="3"/>
            <w:vAlign w:val="center"/>
          </w:tcPr>
          <w:p w:rsidR="006B4073" w:rsidRPr="00E82780" w:rsidRDefault="006B4073" w:rsidP="00ED65C0">
            <w:pPr>
              <w:rPr>
                <w:color w:val="000000"/>
                <w:sz w:val="14"/>
                <w:szCs w:val="18"/>
                <w:lang w:eastAsia="pt-PT"/>
              </w:rPr>
            </w:pPr>
            <w:r w:rsidRPr="00E82780">
              <w:rPr>
                <w:color w:val="000000"/>
                <w:sz w:val="14"/>
                <w:szCs w:val="18"/>
                <w:lang w:eastAsia="pt-PT"/>
              </w:rPr>
              <w:t xml:space="preserve">XXXXXX (PO) - </w:t>
            </w:r>
            <w:proofErr w:type="gramStart"/>
            <w:r w:rsidRPr="00E82780">
              <w:rPr>
                <w:color w:val="000000"/>
                <w:sz w:val="14"/>
                <w:szCs w:val="18"/>
                <w:lang w:eastAsia="pt-PT"/>
              </w:rPr>
              <w:t>99(TI</w:t>
            </w:r>
            <w:proofErr w:type="gramEnd"/>
            <w:r w:rsidRPr="00E82780">
              <w:rPr>
                <w:color w:val="000000"/>
                <w:sz w:val="14"/>
                <w:szCs w:val="18"/>
                <w:lang w:eastAsia="pt-PT"/>
              </w:rPr>
              <w:t>) - 9999(ANO) - 99(sequência no PO/Ano</w:t>
            </w:r>
            <w:r w:rsidRPr="00E82780">
              <w:rPr>
                <w:sz w:val="14"/>
                <w:szCs w:val="18"/>
              </w:rPr>
              <w:t>)</w:t>
            </w:r>
          </w:p>
        </w:tc>
      </w:tr>
      <w:tr w:rsidR="006B4073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B4073" w:rsidRPr="005E4840" w:rsidRDefault="006B4073" w:rsidP="00ED65C0">
            <w:pPr>
              <w:rPr>
                <w:b/>
                <w:sz w:val="14"/>
                <w:highlight w:val="yellow"/>
              </w:rPr>
            </w:pPr>
            <w:r w:rsidRPr="005E4840">
              <w:rPr>
                <w:b/>
                <w:sz w:val="14"/>
                <w:highlight w:val="yellow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6B4073" w:rsidRPr="00A42772" w:rsidRDefault="006B4073" w:rsidP="00ED65C0">
            <w:pPr>
              <w:rPr>
                <w:sz w:val="14"/>
                <w:szCs w:val="18"/>
                <w:highlight w:val="yellow"/>
              </w:rPr>
            </w:pPr>
            <w:proofErr w:type="spellStart"/>
            <w:proofErr w:type="gramStart"/>
            <w:r w:rsidRPr="003D3E90">
              <w:rPr>
                <w:sz w:val="14"/>
                <w:szCs w:val="18"/>
              </w:rPr>
              <w:t>dd</w:t>
            </w:r>
            <w:proofErr w:type="spellEnd"/>
            <w:r w:rsidRPr="003D3E90">
              <w:rPr>
                <w:sz w:val="14"/>
                <w:szCs w:val="18"/>
              </w:rPr>
              <w:t>-mm-</w:t>
            </w:r>
            <w:proofErr w:type="spellStart"/>
            <w:r w:rsidRPr="003D3E90">
              <w:rPr>
                <w:sz w:val="14"/>
                <w:szCs w:val="18"/>
              </w:rPr>
              <w:t>aaaa</w:t>
            </w:r>
            <w:proofErr w:type="spellEnd"/>
            <w:proofErr w:type="gramEnd"/>
          </w:p>
        </w:tc>
      </w:tr>
      <w:tr w:rsidR="006B4073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B4073" w:rsidRPr="00E82780" w:rsidRDefault="006B4073" w:rsidP="00ED65C0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6B4073" w:rsidRPr="00F83B1F" w:rsidRDefault="006B4073" w:rsidP="00ED65C0">
            <w:pPr>
              <w:rPr>
                <w:color w:val="000000"/>
                <w:sz w:val="14"/>
                <w:szCs w:val="18"/>
                <w:highlight w:val="yellow"/>
                <w:lang w:eastAsia="pt-PT"/>
              </w:rPr>
            </w:pPr>
            <w:proofErr w:type="spellStart"/>
            <w:proofErr w:type="gramStart"/>
            <w:r w:rsidRPr="003D3E90">
              <w:rPr>
                <w:sz w:val="14"/>
                <w:szCs w:val="18"/>
              </w:rPr>
              <w:t>dd</w:t>
            </w:r>
            <w:proofErr w:type="spellEnd"/>
            <w:r w:rsidRPr="003D3E90">
              <w:rPr>
                <w:sz w:val="14"/>
                <w:szCs w:val="18"/>
              </w:rPr>
              <w:t>-mm-</w:t>
            </w:r>
            <w:proofErr w:type="spellStart"/>
            <w:r w:rsidRPr="003D3E90">
              <w:rPr>
                <w:sz w:val="14"/>
                <w:szCs w:val="18"/>
              </w:rPr>
              <w:t>aaaa</w:t>
            </w:r>
            <w:proofErr w:type="spellEnd"/>
            <w:proofErr w:type="gramEnd"/>
          </w:p>
        </w:tc>
        <w:tc>
          <w:tcPr>
            <w:tcW w:w="3544" w:type="dxa"/>
            <w:vAlign w:val="center"/>
          </w:tcPr>
          <w:p w:rsidR="006B4073" w:rsidRPr="00E82780" w:rsidRDefault="006B4073" w:rsidP="00ED65C0">
            <w:pPr>
              <w:jc w:val="right"/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6B4073" w:rsidRPr="00E82780" w:rsidRDefault="006B4073" w:rsidP="00ED65C0">
            <w:pPr>
              <w:rPr>
                <w:color w:val="000000"/>
                <w:sz w:val="14"/>
                <w:szCs w:val="18"/>
                <w:lang w:eastAsia="pt-PT"/>
              </w:rPr>
            </w:pPr>
            <w:proofErr w:type="spellStart"/>
            <w:proofErr w:type="gramStart"/>
            <w:r w:rsidRPr="003D3E90">
              <w:rPr>
                <w:sz w:val="14"/>
                <w:szCs w:val="18"/>
              </w:rPr>
              <w:t>dd</w:t>
            </w:r>
            <w:proofErr w:type="spellEnd"/>
            <w:r w:rsidRPr="003D3E90">
              <w:rPr>
                <w:sz w:val="14"/>
                <w:szCs w:val="18"/>
              </w:rPr>
              <w:t>-mm-</w:t>
            </w:r>
            <w:proofErr w:type="spellStart"/>
            <w:r w:rsidRPr="003D3E90">
              <w:rPr>
                <w:sz w:val="14"/>
                <w:szCs w:val="18"/>
              </w:rPr>
              <w:t>aaaa</w:t>
            </w:r>
            <w:proofErr w:type="spellEnd"/>
            <w:proofErr w:type="gramEnd"/>
          </w:p>
        </w:tc>
      </w:tr>
      <w:tr w:rsidR="006B4073" w:rsidRPr="00E82780" w:rsidTr="00ED65C0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E82780" w:rsidRDefault="006B4073" w:rsidP="00ED65C0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 w:themeColor="text2" w:themeShade="BF"/>
            </w:tcBorders>
            <w:vAlign w:val="center"/>
          </w:tcPr>
          <w:p w:rsidR="006B4073" w:rsidRPr="00F83B1F" w:rsidRDefault="006B4073" w:rsidP="00ED65C0">
            <w:pPr>
              <w:rPr>
                <w:color w:val="000000"/>
                <w:sz w:val="14"/>
                <w:szCs w:val="18"/>
                <w:highlight w:val="yellow"/>
                <w:lang w:eastAsia="pt-PT"/>
              </w:rPr>
            </w:pPr>
            <w:proofErr w:type="spellStart"/>
            <w:proofErr w:type="gramStart"/>
            <w:r w:rsidRPr="003D3E90">
              <w:rPr>
                <w:sz w:val="14"/>
                <w:szCs w:val="18"/>
              </w:rPr>
              <w:t>dd</w:t>
            </w:r>
            <w:proofErr w:type="spellEnd"/>
            <w:r w:rsidRPr="003D3E90">
              <w:rPr>
                <w:sz w:val="14"/>
                <w:szCs w:val="18"/>
              </w:rPr>
              <w:t>-mm-</w:t>
            </w:r>
            <w:proofErr w:type="spellStart"/>
            <w:r w:rsidRPr="003D3E90">
              <w:rPr>
                <w:sz w:val="14"/>
                <w:szCs w:val="18"/>
              </w:rPr>
              <w:t>aaaa</w:t>
            </w:r>
            <w:proofErr w:type="spellEnd"/>
            <w:proofErr w:type="gramEnd"/>
          </w:p>
        </w:tc>
      </w:tr>
    </w:tbl>
    <w:p w:rsidR="001F4726" w:rsidRPr="006B4073" w:rsidRDefault="001F4726" w:rsidP="00526233">
      <w:pPr>
        <w:spacing w:after="0" w:line="240" w:lineRule="auto"/>
        <w:jc w:val="both"/>
        <w:rPr>
          <w:sz w:val="8"/>
          <w:szCs w:val="8"/>
        </w:rPr>
      </w:pP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747"/>
      </w:tblGrid>
      <w:tr w:rsidR="00521060" w:rsidRPr="00C43B9C" w:rsidTr="00456F10">
        <w:trPr>
          <w:trHeight w:val="283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:rsidR="00521060" w:rsidRPr="00521060" w:rsidRDefault="006B4073" w:rsidP="00C8082B">
            <w:pPr>
              <w:spacing w:after="0"/>
              <w:rPr>
                <w:i/>
                <w:sz w:val="20"/>
              </w:rPr>
            </w:pPr>
            <w:r>
              <w:rPr>
                <w:i/>
                <w:sz w:val="18"/>
              </w:rPr>
              <w:t>Legislação na área da Igualdade de Género</w:t>
            </w:r>
          </w:p>
        </w:tc>
      </w:tr>
    </w:tbl>
    <w:p w:rsidR="00521060" w:rsidRDefault="00521060" w:rsidP="00521060">
      <w:pPr>
        <w:spacing w:after="0"/>
        <w:rPr>
          <w:i/>
          <w:sz w:val="8"/>
        </w:rPr>
      </w:pPr>
    </w:p>
    <w:p w:rsidR="006B4073" w:rsidRPr="006B4073" w:rsidRDefault="006B4073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6B4073">
        <w:rPr>
          <w:i/>
          <w:sz w:val="18"/>
          <w:szCs w:val="16"/>
        </w:rPr>
        <w:t xml:space="preserve">Compromissos internacionais </w:t>
      </w:r>
    </w:p>
    <w:p w:rsidR="006B4073" w:rsidRPr="0012628C" w:rsidRDefault="006B4073" w:rsidP="00D3761B">
      <w:pPr>
        <w:pStyle w:val="Bullet"/>
        <w:jc w:val="both"/>
        <w:rPr>
          <w:sz w:val="16"/>
        </w:rPr>
      </w:pPr>
      <w:r w:rsidRPr="0012628C">
        <w:rPr>
          <w:sz w:val="16"/>
        </w:rPr>
        <w:t>Pacto Europeu para a Igualdade entre Homens e Mulheres (2011-2020)</w:t>
      </w:r>
      <w:r w:rsidR="00D3761B" w:rsidRPr="0012628C">
        <w:rPr>
          <w:sz w:val="16"/>
        </w:rPr>
        <w:t>, aprovado a 7 de março de 2011</w:t>
      </w:r>
    </w:p>
    <w:p w:rsidR="00D3761B" w:rsidRPr="0012628C" w:rsidRDefault="00D3761B" w:rsidP="00D3761B">
      <w:pPr>
        <w:pStyle w:val="Bullet"/>
        <w:jc w:val="both"/>
        <w:rPr>
          <w:sz w:val="16"/>
        </w:rPr>
      </w:pPr>
      <w:r w:rsidRPr="0012628C">
        <w:rPr>
          <w:sz w:val="16"/>
          <w:szCs w:val="16"/>
        </w:rPr>
        <w:t>Estratégia para a Igualdade entre Mulheres e Homens (2010-2015), adotada a 21 de dezembro de 2010</w:t>
      </w:r>
    </w:p>
    <w:p w:rsidR="00D3761B" w:rsidRPr="0012628C" w:rsidRDefault="00D3761B" w:rsidP="00D3761B">
      <w:pPr>
        <w:pStyle w:val="Bullet"/>
        <w:jc w:val="both"/>
        <w:rPr>
          <w:sz w:val="16"/>
        </w:rPr>
      </w:pPr>
      <w:r w:rsidRPr="0012628C">
        <w:rPr>
          <w:sz w:val="16"/>
          <w:szCs w:val="16"/>
        </w:rPr>
        <w:t>Estratégia da União Europeia para o Emprego e o Crescimento-Europa 2020, adotada a 17 de junho de 2010</w:t>
      </w:r>
    </w:p>
    <w:p w:rsidR="00D3761B" w:rsidRPr="0012628C" w:rsidRDefault="00D3761B" w:rsidP="00D3761B">
      <w:pPr>
        <w:pStyle w:val="Bullet"/>
        <w:jc w:val="both"/>
        <w:rPr>
          <w:sz w:val="16"/>
        </w:rPr>
      </w:pPr>
      <w:r w:rsidRPr="0012628C">
        <w:rPr>
          <w:sz w:val="16"/>
          <w:szCs w:val="16"/>
        </w:rPr>
        <w:t>Carta das Mulheres, adotada a 5 de março de 2010</w:t>
      </w:r>
    </w:p>
    <w:p w:rsidR="00D3761B" w:rsidRPr="0012628C" w:rsidRDefault="00D3761B" w:rsidP="00D3761B">
      <w:pPr>
        <w:pStyle w:val="Bullet"/>
        <w:jc w:val="both"/>
        <w:rPr>
          <w:sz w:val="16"/>
        </w:rPr>
      </w:pPr>
      <w:r w:rsidRPr="0012628C">
        <w:rPr>
          <w:sz w:val="16"/>
          <w:szCs w:val="16"/>
        </w:rPr>
        <w:t>Tratado de Lisboa, de 13 de dezembro de 2007</w:t>
      </w:r>
    </w:p>
    <w:p w:rsidR="00D3761B" w:rsidRPr="0012628C" w:rsidRDefault="00D3761B" w:rsidP="00D3761B">
      <w:pPr>
        <w:pStyle w:val="Bullet"/>
        <w:jc w:val="both"/>
        <w:rPr>
          <w:sz w:val="16"/>
        </w:rPr>
      </w:pPr>
      <w:r w:rsidRPr="0012628C">
        <w:rPr>
          <w:sz w:val="16"/>
          <w:szCs w:val="16"/>
        </w:rPr>
        <w:t>Carta dos Direitos Fundamentais, adotada em Nice em dezembro de 2000</w:t>
      </w:r>
    </w:p>
    <w:p w:rsidR="00D3761B" w:rsidRPr="00D3761B" w:rsidRDefault="00D3761B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>Plano Nacional para a Igualdade de Género, Cidadania e Não Discriminação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V Plano Nacional para a Igualdade – Género, Cidadania e Não Discriminação 2014-2017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de Retificação n.º 14/2014</w:t>
      </w:r>
    </w:p>
    <w:p w:rsidR="00D3761B" w:rsidRPr="00D3761B" w:rsidRDefault="00D3761B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 xml:space="preserve">Trabalho, emprego e empreendedorismo 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133/2015, de 7 de setembro, que cria um mecanismo de proteção para trabalhadoras gravidas, puérperas e lactantes.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de Género no Mercado de Trabalho.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</w:t>
      </w:r>
      <w:proofErr w:type="spellStart"/>
      <w:r w:rsidRPr="0012628C">
        <w:rPr>
          <w:sz w:val="16"/>
          <w:szCs w:val="16"/>
        </w:rPr>
        <w:t>ii</w:t>
      </w:r>
      <w:proofErr w:type="spellEnd"/>
      <w:r w:rsidRPr="0012628C">
        <w:rPr>
          <w:sz w:val="16"/>
          <w:szCs w:val="16"/>
        </w:rPr>
        <w:t>) para promoverem a criação e o fornecimento, sem custos para as empresas, de um mecanismo de apoio para identificação e análise das diferenças salariais entre homens e mulheres.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46/2014, de 28 de julho – diploma que autoriza o Governo, no âmbito da transposição da Diretiva n.º 2013/36/UE do Parlamento Europeu e do Conselho, a proceder à alteração ao Regime Geral das Instituições de Crédito e Sociedades Financeiras, definindo, como um dos objetivos estabelecer que a política interna de seleção e avaliação dos membros dos órgãos de administração e fiscalização deve promover a diversidade de qualificações e competências necessárias para o exercício da função, fixando objetivos para a representação de homens e mulheres e concebendo uma política destinada a aumentar o número de pessoas do género sub-representado com vista a atingir os referidos objetivos.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18/2014, de 5 de março de 2014 – diploma que estabelece um conjunto de medidas a adotar para contrariar a tendência histórica de desigualdade salarial penalizadora para as mulheres, tendo em vista alcançar uma efetiva igualdade de género.</w:t>
      </w:r>
    </w:p>
    <w:p w:rsidR="00D3761B" w:rsidRPr="00D3761B" w:rsidRDefault="00D3761B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 xml:space="preserve">Conciliação vida profissional com a vida privada 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nº 116/2012, de 13 de julho – diploma que recomenda ao Governo que tome medidas de valorização da família que facilitem a conciliação entre a vida familiar e a vida profissional.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Despacho n.º 8683/2011, de 16 de junho – diploma que determina que os estabelecimentos de ensino pré-escolar e do 1.º ciclo do ensino básico se mantenham obrigatoriamente abertos, pelo menos até às 17h30 e, no mínimo, por oito horas.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Decisão do Conselho da Europa, de 21 de outubro de 2010 – diploma que estabelece que as políticas de conciliação da vida profissional com a familiar, juntamente com o acesso a estruturas de acolhimento de crianças a preços acessíveis e a inovação na forma como o trabalho é organizado, devem visar aumentar as taxas de emprego, nomeadamente entre os jovens, os trabalhadores mais idosos e as mulheres.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Despacho n.º 14460/2008, de 15 de maio – diploma que define as normas a observar no período de funcionamento dos respetivos estabelecimentos bem como na oferta das atividades de enriquecimento curricular e de animação e de apoio à família.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426/2006, de 2 de maio – diploma que visa criar o Programa de Alargamento da Rede de Equipamentos Sociais (PARES), que tem por finalidade apoiar o desenvolvimento e consolidar a rede de equipamentos sociais, que visa essencialmente estimular, através dos recursos financeiros provenientes dos jogos sociais, o investimento privado em equipamentos sociais, com o objetivo de aumentar a capacidade instalada em respostas nas áreas de infância e juventude, pessoas com deficiência e população idosa.</w:t>
      </w:r>
    </w:p>
    <w:p w:rsidR="006B4073" w:rsidRDefault="006B4073" w:rsidP="006B4073">
      <w:pPr>
        <w:spacing w:after="0" w:line="240" w:lineRule="auto"/>
        <w:jc w:val="both"/>
        <w:rPr>
          <w:i/>
          <w:sz w:val="18"/>
          <w:szCs w:val="16"/>
        </w:rPr>
      </w:pPr>
    </w:p>
    <w:p w:rsidR="00D3761B" w:rsidRPr="006B4073" w:rsidRDefault="00D3761B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6"/>
          <w:szCs w:val="16"/>
        </w:rPr>
      </w:pPr>
      <w:r>
        <w:rPr>
          <w:i/>
          <w:sz w:val="18"/>
          <w:szCs w:val="16"/>
        </w:rPr>
        <w:t>Discriminação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de Género no Mercado de Trabalho.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</w:t>
      </w:r>
      <w:proofErr w:type="spellStart"/>
      <w:r w:rsidRPr="0012628C">
        <w:rPr>
          <w:sz w:val="16"/>
          <w:szCs w:val="16"/>
        </w:rPr>
        <w:t>ii</w:t>
      </w:r>
      <w:proofErr w:type="spellEnd"/>
      <w:r w:rsidRPr="0012628C">
        <w:rPr>
          <w:sz w:val="16"/>
          <w:szCs w:val="16"/>
        </w:rPr>
        <w:t>) para promoverem a criação e o fornecimento, sem custos para as empresas, de um mecanismo de apoio para identificação e análise das diferenças salariais entre homens e mulheres.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40/2014, de 9 de Julho - diploma que procede à segunda alteração a Lei n.º 27/2007, de 30 de julho (Lei da televisão e dos Serviços Audiovisuais a Pedido), integrando a promoção da igualdade de género como um dos temas dos programas televisivos de acesso livre.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46/2013, de 4 de abril – diploma que recomenda ao Governo a não discriminação laboral de mulheres.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45/2013, de 4 de abril – diploma que recomenda ao Governo o combate às discriminações salariais, diretas e indiretas.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41/2013, de 8 de março – diploma que recomenda ao governo um conjunto de medidas, em matéria de combate às práticas discriminatórias entre homens e mulheres no mundo do trabalho, nomeadamente a disponibilização, na página eletrónica da autoridade para as Condições do trabalho, de informação estatística atualizada e de qualidade, com desagregação futura dos dados em função do género.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13/2013, de 8 de março – diploma que aprova um conjunto de medidas que visam garantir e promover a igualdade de oportunidades e de resultados entre mulheres e homens no mercado de trabalho, designadamente na eliminação das diferenças salariais, da promoção da conciliação entre a vida profissional e a vida familiar e pessoal, do incentivo ao aprofundamento da responsabilidade social das empresas, da eliminação da segregação do mercado de trabalho e de outras discriminações.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19/2012, de 8 de março – diploma que sublinha a necessidade de promover uma efetiva pluralidade na representação de mulheres e de homens em lugares de decisão, tanto para o sector público como para o privado e incentiva a adoção de práticas de bom governo, suscetíveis de contribuir para a sustentabilidade económica de Portugal.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7/2011, de 15 de março – diploma que cria o procedimento de mudança de sexo e de nome próprio no registo civil e procede à décima sétima alteração ao Código do Registo Civil.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3/2011, de 15 de fevereiro – diploma que proíbe qualquer discriminação no acesso e no exercício do trabalho independente e transpõe a Diretiva n.º 2000/43/CE, do Conselho, de 29 de Junho, a Diretiva n.º2000/78/CE, do Conselho, de 27 de novembro, e a Diretiva n.º 2006/54/CE, do Parlamento Europeu e do Conselho, de 5 de julho.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dos Direitos Fundamentais da União Europeia, de 30 de dezembro de 2010 – diploma que, no artigo 21.º, proíbe de forma genérica a discriminação em razão de uma vasta série de motivações, incluindo em função da orientação sexual.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Convenção Europeia dos Direitos do Homem, de 4 de novembro 1950 – diploma que consagra os Direitos da Humanidade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39/2010, de 6 de maio – diploma que recomenda ao Governo a adoção de medidas que visem combater a atual discriminação dos homossexuais e bissexuais nos serviços de recolha de sangue.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14/2008, de 12 de março, diploma que proíbe e sanciona a discriminação em função do sexo no acesso a bens e serviços e seu fornecimento, transpondo para a ordem jurídica interna a Diretiva n.º 2004/113/CE, do Conselho, de 13 de dezembro.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Lei n.º 59/2007, de 4 de setembro, e Decreto-Lei n.º 48/95, de 15 de março – </w:t>
      </w:r>
      <w:proofErr w:type="gramStart"/>
      <w:r w:rsidRPr="0012628C">
        <w:rPr>
          <w:sz w:val="16"/>
          <w:szCs w:val="16"/>
        </w:rPr>
        <w:t>diplomas</w:t>
      </w:r>
      <w:proofErr w:type="gramEnd"/>
      <w:r w:rsidRPr="0012628C">
        <w:rPr>
          <w:sz w:val="16"/>
          <w:szCs w:val="16"/>
        </w:rPr>
        <w:t xml:space="preserve"> que alteram o Decreto-Lei n.º 400/82, de 23 de Setembro, nomeadamente, a alínea c) do n.º 2 do artigo 240.º do Código Penal Português, criminalizando o incitamento à discriminação racial, religiosa e sexual com uma pena de prisão de 6 meses a 5 anos.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111/2007, de 24 de janeiro – diploma que cria o Programa Todos Diferentes, Todos Iguais (Programa TDTI).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18/2004, 11 de maio – diploma que transpõe para a ordem jurídica nacional a Diretiva n.º 2000/43/CE, do Conselho, de 29 de Junho, que aplica o princípio da igualdade de tratamento entre as pessoas, sem distinção de origem racial ou étnica, e tem por objetivo estabelecer um quadro jurídico para o combate à discriminação baseada em motivos de origem racial ou étnica.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9/2001, de 21 de maio – diploma que reforça os mecanismos de fiscalização e punição das práticas laborais discriminatórias em função do sexo.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134/1999, de 28 de agosto – diploma que proíbe as discriminações no exercício de direitos por motivos baseados na raça, cor, nacionalidade ou origem étnica.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Universal dos Direitos do Homem, de 10 de Dezembro de 1948.</w:t>
      </w:r>
    </w:p>
    <w:p w:rsidR="006B4073" w:rsidRPr="00D3761B" w:rsidRDefault="006B4073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proofErr w:type="spellStart"/>
      <w:r w:rsidRPr="00D3761B">
        <w:rPr>
          <w:i/>
          <w:sz w:val="18"/>
          <w:szCs w:val="16"/>
        </w:rPr>
        <w:t>Mainstreaming</w:t>
      </w:r>
      <w:proofErr w:type="spellEnd"/>
      <w:r w:rsidRPr="00D3761B">
        <w:rPr>
          <w:i/>
          <w:sz w:val="18"/>
          <w:szCs w:val="16"/>
        </w:rPr>
        <w:t xml:space="preserve"> 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nº 19/2012, de 8 de março – diploma que determina a obrigatoriedade de adoção de planos para a igualdade em todas as entidades do Setor Empresarial do Estado (SEE) e a presença plural de mulheres e homens nas nomeações ou designações para cargos de administração e de fiscalização; enquanto acionista de empresas privadas, deve propor aos restantes acionistas a adoção de políticas de promoção da igualdade de género; quanto às empresas do setor privado cotadas em bolsa, recomenda a adoção de planos de igualdade e de medidas, designadamente de autorregulação e de avaliação, que conduzam à participação equilibrada de mulheres e de homens nos cargos de administração e de fiscalização.</w:t>
      </w:r>
    </w:p>
    <w:p w:rsidR="006B4073" w:rsidRPr="00D3761B" w:rsidRDefault="006B4073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proofErr w:type="spellStart"/>
      <w:r w:rsidRPr="00D3761B">
        <w:rPr>
          <w:i/>
          <w:sz w:val="18"/>
          <w:szCs w:val="16"/>
        </w:rPr>
        <w:lastRenderedPageBreak/>
        <w:t>Parentalidade</w:t>
      </w:r>
      <w:proofErr w:type="spellEnd"/>
      <w:r w:rsidRPr="00D3761B">
        <w:rPr>
          <w:i/>
          <w:sz w:val="18"/>
          <w:szCs w:val="16"/>
        </w:rPr>
        <w:t xml:space="preserve"> 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Constituição da República Portuguesa (artigo 68.º) – diploma que reconhece a maternidade e a paternidade como valores sociais eminentes.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Declaração de Retificação n.º 40/2009, de 5 de junho – diploma que retifica o n.º 4 do artigo 38.º do Decreto-Lei n.º 89/2009, de 9 de abril, que regulamenta a proteção na </w:t>
      </w:r>
      <w:proofErr w:type="spellStart"/>
      <w:r w:rsidRPr="0012628C">
        <w:rPr>
          <w:sz w:val="16"/>
          <w:szCs w:val="16"/>
        </w:rPr>
        <w:t>parentalidade</w:t>
      </w:r>
      <w:proofErr w:type="spellEnd"/>
      <w:r w:rsidRPr="0012628C">
        <w:rPr>
          <w:sz w:val="16"/>
          <w:szCs w:val="16"/>
        </w:rPr>
        <w:t>, no âmbito da eventualidade maternidade, paternidade e adoção, dos trabalhadores que exercem funções públicas integrados no regime de proteção social convergente.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Decreto-Lei n.º 91/2009, de 9 de abril – diploma que estabelece o regime jurídico de proteção social na </w:t>
      </w:r>
      <w:proofErr w:type="spellStart"/>
      <w:r w:rsidRPr="0012628C">
        <w:rPr>
          <w:sz w:val="16"/>
          <w:szCs w:val="16"/>
        </w:rPr>
        <w:t>parentalidade</w:t>
      </w:r>
      <w:proofErr w:type="spellEnd"/>
      <w:r w:rsidRPr="0012628C">
        <w:rPr>
          <w:sz w:val="16"/>
          <w:szCs w:val="16"/>
        </w:rPr>
        <w:t xml:space="preserve"> no âmbito do sistema previdencial e no subsistema de solidariedade, e o quadro legal da proteção da </w:t>
      </w:r>
      <w:proofErr w:type="spellStart"/>
      <w:r w:rsidRPr="0012628C">
        <w:rPr>
          <w:sz w:val="16"/>
          <w:szCs w:val="16"/>
        </w:rPr>
        <w:t>parentalidade</w:t>
      </w:r>
      <w:proofErr w:type="spellEnd"/>
      <w:r w:rsidRPr="0012628C">
        <w:rPr>
          <w:sz w:val="16"/>
          <w:szCs w:val="16"/>
        </w:rPr>
        <w:t>, em termos gerais.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Decreto-Lei n.º 89/2009, de 9 de abril – diploma que regulamenta a proteção na </w:t>
      </w:r>
      <w:proofErr w:type="spellStart"/>
      <w:r w:rsidRPr="0012628C">
        <w:rPr>
          <w:sz w:val="16"/>
          <w:szCs w:val="16"/>
        </w:rPr>
        <w:t>parentalidade</w:t>
      </w:r>
      <w:proofErr w:type="spellEnd"/>
      <w:r w:rsidRPr="0012628C">
        <w:rPr>
          <w:sz w:val="16"/>
          <w:szCs w:val="16"/>
        </w:rPr>
        <w:t>, no âmbito da eventualidade maternidade, paternidade e adoção, dos trabalhadores que exercem funções públicas integrados no regime de proteção social convergente.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Decreto-Lei n.º 91/2009, de 9 de abril – diploma que estabelece o regime jurídico de proteção social na </w:t>
      </w:r>
      <w:proofErr w:type="spellStart"/>
      <w:r w:rsidRPr="0012628C">
        <w:rPr>
          <w:sz w:val="16"/>
          <w:szCs w:val="16"/>
        </w:rPr>
        <w:t>parentalidade</w:t>
      </w:r>
      <w:proofErr w:type="spellEnd"/>
      <w:r w:rsidRPr="0012628C">
        <w:rPr>
          <w:sz w:val="16"/>
          <w:szCs w:val="16"/>
        </w:rPr>
        <w:t xml:space="preserve"> no âmbito do sistema previdencial e no subsistema de solidariedade.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61/2008, de 31 de outubro – diploma que altera os artigos 1906.º a 1912.º do Código Civil, os quais dispõem sobre responsabilidades parentais.</w:t>
      </w:r>
    </w:p>
    <w:p w:rsidR="006B4073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90/2001, de 20 de agosto – diploma que define medidas de apoio social aos pais e mães estudantes.</w:t>
      </w: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747"/>
      </w:tblGrid>
      <w:tr w:rsidR="004F1721" w:rsidRPr="00C43B9C" w:rsidTr="00055BEE">
        <w:trPr>
          <w:trHeight w:val="283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:rsidR="004F1721" w:rsidRPr="00521060" w:rsidRDefault="004F1721" w:rsidP="00055BEE">
            <w:pPr>
              <w:spacing w:after="0"/>
              <w:rPr>
                <w:i/>
                <w:sz w:val="20"/>
              </w:rPr>
            </w:pPr>
            <w:r>
              <w:rPr>
                <w:i/>
                <w:sz w:val="18"/>
              </w:rPr>
              <w:t>Legislação na área da Violência Doméstica</w:t>
            </w:r>
          </w:p>
        </w:tc>
      </w:tr>
    </w:tbl>
    <w:p w:rsidR="004F1721" w:rsidRDefault="004F1721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</w:p>
    <w:p w:rsidR="006B4073" w:rsidRPr="00D3761B" w:rsidRDefault="006B4073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 xml:space="preserve">Vigilância eletrónica 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63/2011, de 3 de fevereiro – diploma que estabelece a primeira alteração à Portaria n.º 220-A/2010, de 16 de abril, dando nova redação aos seus artigos 4.º e 7.º e revogando o artigo 5.º.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40/2010, de 3 de setembro – diploma que estabelece que a segunda alteração à Lei n.º 115/2009, de 12 de outubro, que aprova o Código da Execução das Penas e Medidas Privativas da Liberdade e 26ª alteração ao Código Penal.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33/2010, de 2 de setembro – diploma que regula a utilização de meios técnicos de controlo à distância (vigilância eletrónica) e revoga a Lei n.º 122/99, de 20 de agosto, que regula a vigilância eletrónica prevista no artigo 201.º do Código de Processo Penal, e o artigo 2.º da Lei n.º 115/2009, de 12 de Outubro.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Portaria n.º 220-A/2010, de 16 de abril – diploma que estabelece as condições de utilização inicial dos meios técnicos de teleassistência, previstos nos </w:t>
      </w:r>
      <w:proofErr w:type="spellStart"/>
      <w:r w:rsidRPr="0012628C">
        <w:rPr>
          <w:sz w:val="16"/>
          <w:szCs w:val="16"/>
        </w:rPr>
        <w:t>n.os</w:t>
      </w:r>
      <w:proofErr w:type="spellEnd"/>
      <w:r w:rsidRPr="0012628C">
        <w:rPr>
          <w:sz w:val="16"/>
          <w:szCs w:val="16"/>
        </w:rPr>
        <w:t xml:space="preserve"> 4 e 5 do artigo 20.º, e dos meios técnicos de controlo à distância previstos no artigo 35.º, ambos da Lei n.º 112/2009, de 16 de setembro, que aprova o regime jurídico aplicável à prevenção da violência doméstica, à proteção e à assistência das suas vítimas.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n.º17/2006, de 21 de julho – diploma que prorroga por mais um ano o mandato da estrutura de missão que tem vindo a desenvolver a estratégia de implementação da vigilância eletrónica.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121/2009, de 21 de maio – diploma que cria a Unidade de tecnologias, Informação e Segurança.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1/2001, de 6 de janeiro – diploma que cria, no âmbito do Ministério da Justiça, uma estrutura de missão com o objetivo de desenvolver as estratégias de implementação do sistema da monitorização eletrónica de arguidos sujeitos à medida de coação prevista no artigo 201.º do Código de Processo Penal.</w:t>
      </w:r>
    </w:p>
    <w:p w:rsidR="006B4073" w:rsidRPr="00D3761B" w:rsidRDefault="006B4073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>Violência doméstica – Técnicos de apoio à vítima</w:t>
      </w:r>
    </w:p>
    <w:p w:rsidR="006B4073" w:rsidRDefault="006B4073" w:rsidP="00D3761B">
      <w:pPr>
        <w:pStyle w:val="Bullet"/>
        <w:jc w:val="both"/>
        <w:rPr>
          <w:sz w:val="16"/>
          <w:szCs w:val="16"/>
        </w:rPr>
      </w:pPr>
      <w:r w:rsidRPr="00D3761B">
        <w:rPr>
          <w:sz w:val="16"/>
          <w:szCs w:val="16"/>
        </w:rPr>
        <w:t xml:space="preserve">Despacho nº 6810-A/2010, de 15 de Abril, D.R. (II série) de 16 de Abril (suplemento): – Define, no âmbito do artigo 83º da Lei nº 112/2009, de 16 de Setembro, os requisitos e qualificações necessários à habilitação dos técnicos de apoio à vítima. </w:t>
      </w:r>
    </w:p>
    <w:p w:rsidR="007E5168" w:rsidRPr="00D3761B" w:rsidRDefault="007E5168" w:rsidP="007E5168">
      <w:pPr>
        <w:pStyle w:val="Bullet"/>
        <w:numPr>
          <w:ilvl w:val="0"/>
          <w:numId w:val="0"/>
        </w:numPr>
        <w:ind w:left="360" w:hanging="360"/>
        <w:jc w:val="both"/>
        <w:rPr>
          <w:sz w:val="16"/>
          <w:szCs w:val="16"/>
        </w:rPr>
      </w:pPr>
    </w:p>
    <w:sectPr w:rsidR="007E5168" w:rsidRPr="00D3761B" w:rsidSect="009E03B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701" w:right="1134" w:bottom="992" w:left="1134" w:header="4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FF5" w:rsidRDefault="00656FF5" w:rsidP="004F0B62">
      <w:pPr>
        <w:spacing w:after="0" w:line="240" w:lineRule="auto"/>
      </w:pPr>
      <w:r>
        <w:separator/>
      </w:r>
    </w:p>
  </w:endnote>
  <w:endnote w:type="continuationSeparator" w:id="0">
    <w:p w:rsidR="00656FF5" w:rsidRDefault="00656FF5" w:rsidP="004F0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3251" w:rsidRDefault="0033325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B62" w:rsidRDefault="004F0B62">
    <w:pPr>
      <w:pStyle w:val="Footer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3251" w:rsidRDefault="0033325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FF5" w:rsidRDefault="00656FF5" w:rsidP="004F0B62">
      <w:pPr>
        <w:spacing w:after="0" w:line="240" w:lineRule="auto"/>
      </w:pPr>
      <w:r>
        <w:separator/>
      </w:r>
    </w:p>
  </w:footnote>
  <w:footnote w:type="continuationSeparator" w:id="0">
    <w:p w:rsidR="00656FF5" w:rsidRDefault="00656FF5" w:rsidP="004F0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3251" w:rsidRDefault="0033325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74"/>
    </w:tblGrid>
    <w:tr w:rsidR="00333251" w:rsidRPr="00AD642E" w:rsidTr="009E03B0">
      <w:trPr>
        <w:trHeight w:val="851"/>
      </w:trPr>
      <w:tc>
        <w:tcPr>
          <w:tcW w:w="4874" w:type="dxa"/>
          <w:vAlign w:val="center"/>
        </w:tcPr>
        <w:p w:rsidR="00333251" w:rsidRPr="009E03B0" w:rsidRDefault="00333251" w:rsidP="00054765">
          <w:pPr>
            <w:jc w:val="right"/>
            <w:rPr>
              <w:sz w:val="18"/>
            </w:rPr>
          </w:pPr>
        </w:p>
      </w:tc>
    </w:tr>
  </w:tbl>
  <w:p w:rsidR="004F0B62" w:rsidRDefault="004F0B6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3251" w:rsidRDefault="0033325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21EC0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6F85227"/>
    <w:multiLevelType w:val="hybridMultilevel"/>
    <w:tmpl w:val="64F207D2"/>
    <w:lvl w:ilvl="0" w:tplc="8C8C39D6">
      <w:start w:val="1"/>
      <w:numFmt w:val="bullet"/>
      <w:pStyle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C11C33"/>
    <w:multiLevelType w:val="hybridMultilevel"/>
    <w:tmpl w:val="E8328E5A"/>
    <w:lvl w:ilvl="0" w:tplc="8C8C3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6C16DA"/>
    <w:multiLevelType w:val="hybridMultilevel"/>
    <w:tmpl w:val="B7860E3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482F04"/>
    <w:multiLevelType w:val="hybridMultilevel"/>
    <w:tmpl w:val="C7268594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7A2A01"/>
    <w:multiLevelType w:val="hybridMultilevel"/>
    <w:tmpl w:val="C9C8A926"/>
    <w:lvl w:ilvl="0" w:tplc="E9C016DE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7825BC"/>
    <w:multiLevelType w:val="hybridMultilevel"/>
    <w:tmpl w:val="958A645E"/>
    <w:lvl w:ilvl="0" w:tplc="08160019">
      <w:start w:val="1"/>
      <w:numFmt w:val="lowerLetter"/>
      <w:lvlText w:val="%1."/>
      <w:lvlJc w:val="left"/>
      <w:pPr>
        <w:ind w:left="1440" w:hanging="360"/>
      </w:p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CA70E39"/>
    <w:multiLevelType w:val="hybridMultilevel"/>
    <w:tmpl w:val="DFD0DA28"/>
    <w:lvl w:ilvl="0" w:tplc="E9F06458">
      <w:start w:val="1"/>
      <w:numFmt w:val="decimal"/>
      <w:lvlText w:val="(%1)"/>
      <w:lvlJc w:val="left"/>
      <w:pPr>
        <w:ind w:left="814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534" w:hanging="360"/>
      </w:pPr>
    </w:lvl>
    <w:lvl w:ilvl="2" w:tplc="0816001B" w:tentative="1">
      <w:start w:val="1"/>
      <w:numFmt w:val="lowerRoman"/>
      <w:lvlText w:val="%3."/>
      <w:lvlJc w:val="right"/>
      <w:pPr>
        <w:ind w:left="2254" w:hanging="180"/>
      </w:pPr>
    </w:lvl>
    <w:lvl w:ilvl="3" w:tplc="0816000F" w:tentative="1">
      <w:start w:val="1"/>
      <w:numFmt w:val="decimal"/>
      <w:lvlText w:val="%4."/>
      <w:lvlJc w:val="left"/>
      <w:pPr>
        <w:ind w:left="2974" w:hanging="360"/>
      </w:pPr>
    </w:lvl>
    <w:lvl w:ilvl="4" w:tplc="08160019" w:tentative="1">
      <w:start w:val="1"/>
      <w:numFmt w:val="lowerLetter"/>
      <w:lvlText w:val="%5."/>
      <w:lvlJc w:val="left"/>
      <w:pPr>
        <w:ind w:left="3694" w:hanging="360"/>
      </w:pPr>
    </w:lvl>
    <w:lvl w:ilvl="5" w:tplc="0816001B" w:tentative="1">
      <w:start w:val="1"/>
      <w:numFmt w:val="lowerRoman"/>
      <w:lvlText w:val="%6."/>
      <w:lvlJc w:val="right"/>
      <w:pPr>
        <w:ind w:left="4414" w:hanging="180"/>
      </w:pPr>
    </w:lvl>
    <w:lvl w:ilvl="6" w:tplc="0816000F" w:tentative="1">
      <w:start w:val="1"/>
      <w:numFmt w:val="decimal"/>
      <w:lvlText w:val="%7."/>
      <w:lvlJc w:val="left"/>
      <w:pPr>
        <w:ind w:left="5134" w:hanging="360"/>
      </w:pPr>
    </w:lvl>
    <w:lvl w:ilvl="7" w:tplc="08160019" w:tentative="1">
      <w:start w:val="1"/>
      <w:numFmt w:val="lowerLetter"/>
      <w:lvlText w:val="%8."/>
      <w:lvlJc w:val="left"/>
      <w:pPr>
        <w:ind w:left="5854" w:hanging="360"/>
      </w:pPr>
    </w:lvl>
    <w:lvl w:ilvl="8" w:tplc="0816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8">
    <w:nsid w:val="3E601806"/>
    <w:multiLevelType w:val="hybridMultilevel"/>
    <w:tmpl w:val="7A8841DE"/>
    <w:lvl w:ilvl="0" w:tplc="535C74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B00B2F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9A585A"/>
    <w:multiLevelType w:val="hybridMultilevel"/>
    <w:tmpl w:val="6BB8ED8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375955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515D1B1F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60426DA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5AC3288B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5FA4597C"/>
    <w:multiLevelType w:val="hybridMultilevel"/>
    <w:tmpl w:val="5D8C36F8"/>
    <w:lvl w:ilvl="0" w:tplc="65FA8D5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713E3B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1"/>
  </w:num>
  <w:num w:numId="4">
    <w:abstractNumId w:val="8"/>
  </w:num>
  <w:num w:numId="5">
    <w:abstractNumId w:val="2"/>
  </w:num>
  <w:num w:numId="6">
    <w:abstractNumId w:val="11"/>
  </w:num>
  <w:num w:numId="7">
    <w:abstractNumId w:val="15"/>
  </w:num>
  <w:num w:numId="8">
    <w:abstractNumId w:val="13"/>
  </w:num>
  <w:num w:numId="9">
    <w:abstractNumId w:val="14"/>
  </w:num>
  <w:num w:numId="10">
    <w:abstractNumId w:val="2"/>
  </w:num>
  <w:num w:numId="11">
    <w:abstractNumId w:val="12"/>
  </w:num>
  <w:num w:numId="12">
    <w:abstractNumId w:val="3"/>
  </w:num>
  <w:num w:numId="13">
    <w:abstractNumId w:val="4"/>
  </w:num>
  <w:num w:numId="14">
    <w:abstractNumId w:val="16"/>
  </w:num>
  <w:num w:numId="15">
    <w:abstractNumId w:val="6"/>
  </w:num>
  <w:num w:numId="16">
    <w:abstractNumId w:val="0"/>
  </w:num>
  <w:num w:numId="17">
    <w:abstractNumId w:val="9"/>
  </w:num>
  <w:num w:numId="18">
    <w:abstractNumId w:val="7"/>
  </w:num>
  <w:num w:numId="19">
    <w:abstractNumId w:val="10"/>
  </w:num>
  <w:num w:numId="20">
    <w:abstractNumId w:val="5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42E"/>
    <w:rsid w:val="00060E8A"/>
    <w:rsid w:val="000630F0"/>
    <w:rsid w:val="0007537E"/>
    <w:rsid w:val="0007582B"/>
    <w:rsid w:val="00080C09"/>
    <w:rsid w:val="00082695"/>
    <w:rsid w:val="000826CE"/>
    <w:rsid w:val="000A2C07"/>
    <w:rsid w:val="000B5640"/>
    <w:rsid w:val="000D11D4"/>
    <w:rsid w:val="000E4D00"/>
    <w:rsid w:val="000F538E"/>
    <w:rsid w:val="00101516"/>
    <w:rsid w:val="0012435B"/>
    <w:rsid w:val="001251B5"/>
    <w:rsid w:val="0012628C"/>
    <w:rsid w:val="00127915"/>
    <w:rsid w:val="00182715"/>
    <w:rsid w:val="001B7F27"/>
    <w:rsid w:val="001E1978"/>
    <w:rsid w:val="001F34EE"/>
    <w:rsid w:val="001F4726"/>
    <w:rsid w:val="0020706B"/>
    <w:rsid w:val="00217F3D"/>
    <w:rsid w:val="002220DB"/>
    <w:rsid w:val="00270409"/>
    <w:rsid w:val="00271EDB"/>
    <w:rsid w:val="00273F5B"/>
    <w:rsid w:val="00296936"/>
    <w:rsid w:val="002B04A1"/>
    <w:rsid w:val="002D0D73"/>
    <w:rsid w:val="002D20DF"/>
    <w:rsid w:val="002E7DFB"/>
    <w:rsid w:val="002F577A"/>
    <w:rsid w:val="003018E1"/>
    <w:rsid w:val="003106A8"/>
    <w:rsid w:val="003117BB"/>
    <w:rsid w:val="0031287A"/>
    <w:rsid w:val="00316B3E"/>
    <w:rsid w:val="00333251"/>
    <w:rsid w:val="003858B7"/>
    <w:rsid w:val="00385BA9"/>
    <w:rsid w:val="003A78D4"/>
    <w:rsid w:val="003C188E"/>
    <w:rsid w:val="003C2486"/>
    <w:rsid w:val="003D29C5"/>
    <w:rsid w:val="003D3E90"/>
    <w:rsid w:val="003F6A08"/>
    <w:rsid w:val="004313B4"/>
    <w:rsid w:val="00456F10"/>
    <w:rsid w:val="00472D2F"/>
    <w:rsid w:val="00483026"/>
    <w:rsid w:val="004A369A"/>
    <w:rsid w:val="004B1118"/>
    <w:rsid w:val="004B383A"/>
    <w:rsid w:val="004D57E8"/>
    <w:rsid w:val="004F0B62"/>
    <w:rsid w:val="004F1721"/>
    <w:rsid w:val="00502EA7"/>
    <w:rsid w:val="00507D99"/>
    <w:rsid w:val="00513AC2"/>
    <w:rsid w:val="00513C98"/>
    <w:rsid w:val="00521060"/>
    <w:rsid w:val="005214C1"/>
    <w:rsid w:val="00526233"/>
    <w:rsid w:val="00540E1A"/>
    <w:rsid w:val="005A1926"/>
    <w:rsid w:val="005A5304"/>
    <w:rsid w:val="005E4840"/>
    <w:rsid w:val="005F7FA0"/>
    <w:rsid w:val="00600B93"/>
    <w:rsid w:val="0060685E"/>
    <w:rsid w:val="006208BB"/>
    <w:rsid w:val="006236D7"/>
    <w:rsid w:val="00623FAA"/>
    <w:rsid w:val="00625E4B"/>
    <w:rsid w:val="006273DF"/>
    <w:rsid w:val="00627C43"/>
    <w:rsid w:val="00656FF5"/>
    <w:rsid w:val="00657FE7"/>
    <w:rsid w:val="00671D21"/>
    <w:rsid w:val="00687738"/>
    <w:rsid w:val="00687BC1"/>
    <w:rsid w:val="00687BD1"/>
    <w:rsid w:val="00691A2F"/>
    <w:rsid w:val="006A42A3"/>
    <w:rsid w:val="006A59A6"/>
    <w:rsid w:val="006B4073"/>
    <w:rsid w:val="00705195"/>
    <w:rsid w:val="00753904"/>
    <w:rsid w:val="007572C3"/>
    <w:rsid w:val="00763295"/>
    <w:rsid w:val="00792D61"/>
    <w:rsid w:val="007A7CD2"/>
    <w:rsid w:val="007C22BF"/>
    <w:rsid w:val="007E450D"/>
    <w:rsid w:val="007E5168"/>
    <w:rsid w:val="008003BC"/>
    <w:rsid w:val="00816F12"/>
    <w:rsid w:val="00820591"/>
    <w:rsid w:val="00821812"/>
    <w:rsid w:val="00834439"/>
    <w:rsid w:val="008434D9"/>
    <w:rsid w:val="00860B6C"/>
    <w:rsid w:val="008651E6"/>
    <w:rsid w:val="008711B9"/>
    <w:rsid w:val="008722E8"/>
    <w:rsid w:val="008B2205"/>
    <w:rsid w:val="008D1D4B"/>
    <w:rsid w:val="008F1C76"/>
    <w:rsid w:val="0090467E"/>
    <w:rsid w:val="009047CA"/>
    <w:rsid w:val="00906014"/>
    <w:rsid w:val="0092157E"/>
    <w:rsid w:val="009310BF"/>
    <w:rsid w:val="00971BB4"/>
    <w:rsid w:val="009726E1"/>
    <w:rsid w:val="0097618F"/>
    <w:rsid w:val="00976A9B"/>
    <w:rsid w:val="009B0073"/>
    <w:rsid w:val="009C6484"/>
    <w:rsid w:val="009E03B0"/>
    <w:rsid w:val="00A33B77"/>
    <w:rsid w:val="00A378B3"/>
    <w:rsid w:val="00A42772"/>
    <w:rsid w:val="00A74B32"/>
    <w:rsid w:val="00A87F3D"/>
    <w:rsid w:val="00A92F69"/>
    <w:rsid w:val="00A9704C"/>
    <w:rsid w:val="00AA1905"/>
    <w:rsid w:val="00AB4E4B"/>
    <w:rsid w:val="00AC252A"/>
    <w:rsid w:val="00AD0482"/>
    <w:rsid w:val="00AD1ECF"/>
    <w:rsid w:val="00AD642E"/>
    <w:rsid w:val="00AF5C91"/>
    <w:rsid w:val="00B30AC1"/>
    <w:rsid w:val="00B52496"/>
    <w:rsid w:val="00B7703E"/>
    <w:rsid w:val="00C01BDB"/>
    <w:rsid w:val="00C12030"/>
    <w:rsid w:val="00C43B9C"/>
    <w:rsid w:val="00C71A7C"/>
    <w:rsid w:val="00C743FB"/>
    <w:rsid w:val="00C8082B"/>
    <w:rsid w:val="00CA2E48"/>
    <w:rsid w:val="00CB105B"/>
    <w:rsid w:val="00CB2B33"/>
    <w:rsid w:val="00CB37B1"/>
    <w:rsid w:val="00CD0197"/>
    <w:rsid w:val="00CD2484"/>
    <w:rsid w:val="00D3761B"/>
    <w:rsid w:val="00D724F7"/>
    <w:rsid w:val="00D95703"/>
    <w:rsid w:val="00DB4A3D"/>
    <w:rsid w:val="00DB4B83"/>
    <w:rsid w:val="00DC1ECC"/>
    <w:rsid w:val="00DE52A8"/>
    <w:rsid w:val="00E11522"/>
    <w:rsid w:val="00E45026"/>
    <w:rsid w:val="00E82780"/>
    <w:rsid w:val="00E94D55"/>
    <w:rsid w:val="00E96D28"/>
    <w:rsid w:val="00EB29F1"/>
    <w:rsid w:val="00EB7B53"/>
    <w:rsid w:val="00EE17CE"/>
    <w:rsid w:val="00F02E79"/>
    <w:rsid w:val="00F21CEF"/>
    <w:rsid w:val="00F24F74"/>
    <w:rsid w:val="00F33955"/>
    <w:rsid w:val="00F3591D"/>
    <w:rsid w:val="00F401C6"/>
    <w:rsid w:val="00F64DA1"/>
    <w:rsid w:val="00F65C95"/>
    <w:rsid w:val="00F8302B"/>
    <w:rsid w:val="00F83B1F"/>
    <w:rsid w:val="00FB2749"/>
    <w:rsid w:val="00FE6F63"/>
    <w:rsid w:val="00FF14F6"/>
    <w:rsid w:val="00FF404E"/>
    <w:rsid w:val="00FF550E"/>
    <w:rsid w:val="00FF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2496"/>
  </w:style>
  <w:style w:type="paragraph" w:styleId="Heading1">
    <w:name w:val="heading 1"/>
    <w:basedOn w:val="Normal"/>
    <w:next w:val="Normal"/>
    <w:link w:val="Heading1Char"/>
    <w:uiPriority w:val="9"/>
    <w:qFormat/>
    <w:rsid w:val="00B524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5249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5249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5249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249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249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249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249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249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">
    <w:name w:val="Bullet"/>
    <w:basedOn w:val="ListParagraph"/>
    <w:link w:val="BulletCarcter"/>
    <w:rsid w:val="00B52496"/>
    <w:pPr>
      <w:numPr>
        <w:numId w:val="1"/>
      </w:numPr>
    </w:pPr>
  </w:style>
  <w:style w:type="character" w:customStyle="1" w:styleId="BulletCarcter">
    <w:name w:val="Bullet Carácter"/>
    <w:basedOn w:val="ListParagraphChar"/>
    <w:link w:val="Bullet"/>
    <w:rsid w:val="00B52496"/>
  </w:style>
  <w:style w:type="paragraph" w:styleId="ListParagraph">
    <w:name w:val="List Paragraph"/>
    <w:basedOn w:val="Normal"/>
    <w:link w:val="ListParagraphChar"/>
    <w:uiPriority w:val="34"/>
    <w:qFormat/>
    <w:rsid w:val="00B52496"/>
    <w:pPr>
      <w:ind w:left="720"/>
      <w:contextualSpacing/>
    </w:pPr>
  </w:style>
  <w:style w:type="paragraph" w:customStyle="1" w:styleId="BulletSuublinhado">
    <w:name w:val="Bullet Suublinhado"/>
    <w:basedOn w:val="ListParagraph"/>
    <w:link w:val="BulletSuublinhadoCarcter"/>
    <w:rsid w:val="00B52496"/>
    <w:pPr>
      <w:spacing w:before="120" w:after="0" w:line="360" w:lineRule="auto"/>
      <w:ind w:hanging="360"/>
    </w:pPr>
    <w:rPr>
      <w:rFonts w:cs="Arial"/>
      <w:u w:val="single"/>
    </w:rPr>
  </w:style>
  <w:style w:type="character" w:customStyle="1" w:styleId="BulletSuublinhadoCarcter">
    <w:name w:val="Bullet Suublinhado Carácter"/>
    <w:basedOn w:val="ListParagraphChar"/>
    <w:link w:val="BulletSuublinhado"/>
    <w:rsid w:val="00B52496"/>
    <w:rPr>
      <w:rFonts w:cs="Arial"/>
      <w:u w:val="single"/>
    </w:rPr>
  </w:style>
  <w:style w:type="paragraph" w:customStyle="1" w:styleId="Indentado">
    <w:name w:val="Indentado"/>
    <w:basedOn w:val="Normal"/>
    <w:link w:val="IndentadoCarcter"/>
    <w:rsid w:val="00B52496"/>
    <w:pPr>
      <w:ind w:left="708"/>
    </w:pPr>
  </w:style>
  <w:style w:type="character" w:customStyle="1" w:styleId="IndentadoCarcter">
    <w:name w:val="Indentado Carácter"/>
    <w:basedOn w:val="DefaultParagraphFont"/>
    <w:link w:val="Indentado"/>
    <w:rsid w:val="00B52496"/>
  </w:style>
  <w:style w:type="paragraph" w:customStyle="1" w:styleId="Fonte">
    <w:name w:val="Fonte"/>
    <w:basedOn w:val="Normal"/>
    <w:link w:val="FonteCarcter"/>
    <w:rsid w:val="00B52496"/>
    <w:pPr>
      <w:jc w:val="center"/>
    </w:pPr>
    <w:rPr>
      <w:sz w:val="18"/>
    </w:rPr>
  </w:style>
  <w:style w:type="character" w:customStyle="1" w:styleId="FonteCarcter">
    <w:name w:val="Fonte Carácter"/>
    <w:basedOn w:val="DefaultParagraphFont"/>
    <w:link w:val="Fonte"/>
    <w:rsid w:val="00B52496"/>
    <w:rPr>
      <w:sz w:val="18"/>
    </w:rPr>
  </w:style>
  <w:style w:type="paragraph" w:customStyle="1" w:styleId="TtuloTabela">
    <w:name w:val="TítuloTabela"/>
    <w:basedOn w:val="Indentado"/>
    <w:link w:val="TtuloTabelaCarcter"/>
    <w:rsid w:val="00B52496"/>
    <w:pPr>
      <w:ind w:left="0"/>
      <w:jc w:val="center"/>
    </w:pPr>
    <w:rPr>
      <w:b/>
      <w:sz w:val="20"/>
    </w:rPr>
  </w:style>
  <w:style w:type="character" w:customStyle="1" w:styleId="TtuloTabelaCarcter">
    <w:name w:val="TítuloTabela Carácter"/>
    <w:basedOn w:val="IndentadoCarcter"/>
    <w:link w:val="TtuloTabela"/>
    <w:rsid w:val="00B52496"/>
    <w:rPr>
      <w:b/>
      <w:sz w:val="20"/>
    </w:rPr>
  </w:style>
  <w:style w:type="character" w:customStyle="1" w:styleId="Heading1Char">
    <w:name w:val="Heading 1 Char"/>
    <w:basedOn w:val="DefaultParagraphFont"/>
    <w:link w:val="Heading1"/>
    <w:uiPriority w:val="9"/>
    <w:rsid w:val="00B524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B524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5249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B5249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249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249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249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2496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249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OC1">
    <w:name w:val="toc 1"/>
    <w:basedOn w:val="Normal"/>
    <w:next w:val="Normal"/>
    <w:autoRedefine/>
    <w:uiPriority w:val="39"/>
    <w:rsid w:val="00B52496"/>
    <w:pPr>
      <w:spacing w:before="120" w:after="120"/>
    </w:pPr>
    <w:rPr>
      <w:b/>
      <w:bCs/>
      <w:caps/>
      <w:sz w:val="20"/>
      <w:szCs w:val="20"/>
    </w:rPr>
  </w:style>
  <w:style w:type="paragraph" w:styleId="TOC2">
    <w:name w:val="toc 2"/>
    <w:basedOn w:val="Normal"/>
    <w:next w:val="Normal"/>
    <w:autoRedefine/>
    <w:uiPriority w:val="39"/>
    <w:rsid w:val="00B52496"/>
    <w:pPr>
      <w:ind w:left="240"/>
    </w:pPr>
    <w:rPr>
      <w:smallCaps/>
      <w:sz w:val="20"/>
      <w:szCs w:val="20"/>
    </w:rPr>
  </w:style>
  <w:style w:type="paragraph" w:styleId="TOC3">
    <w:name w:val="toc 3"/>
    <w:basedOn w:val="Normal"/>
    <w:next w:val="Normal"/>
    <w:autoRedefine/>
    <w:uiPriority w:val="39"/>
    <w:rsid w:val="00B52496"/>
    <w:pPr>
      <w:ind w:left="480"/>
    </w:pPr>
    <w:rPr>
      <w:i/>
      <w:iCs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5249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B5249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5249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249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5249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B52496"/>
    <w:rPr>
      <w:b/>
      <w:bCs/>
    </w:rPr>
  </w:style>
  <w:style w:type="character" w:styleId="Emphasis">
    <w:name w:val="Emphasis"/>
    <w:basedOn w:val="DefaultParagraphFont"/>
    <w:uiPriority w:val="20"/>
    <w:qFormat/>
    <w:rsid w:val="00B52496"/>
    <w:rPr>
      <w:i/>
      <w:iCs/>
    </w:rPr>
  </w:style>
  <w:style w:type="paragraph" w:styleId="NoSpacing">
    <w:name w:val="No Spacing"/>
    <w:link w:val="NoSpacingChar"/>
    <w:uiPriority w:val="1"/>
    <w:qFormat/>
    <w:rsid w:val="00B52496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B52496"/>
  </w:style>
  <w:style w:type="character" w:customStyle="1" w:styleId="ListParagraphChar">
    <w:name w:val="List Paragraph Char"/>
    <w:basedOn w:val="DefaultParagraphFont"/>
    <w:link w:val="ListParagraph"/>
    <w:uiPriority w:val="34"/>
    <w:rsid w:val="00B52496"/>
  </w:style>
  <w:style w:type="paragraph" w:styleId="Quote">
    <w:name w:val="Quote"/>
    <w:basedOn w:val="Normal"/>
    <w:next w:val="Normal"/>
    <w:link w:val="QuoteChar"/>
    <w:uiPriority w:val="29"/>
    <w:qFormat/>
    <w:rsid w:val="00B52496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B52496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249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2496"/>
    <w:rPr>
      <w:b/>
      <w:bCs/>
      <w:i/>
      <w:iCs/>
      <w:color w:val="4F81BD" w:themeColor="accent1"/>
    </w:rPr>
  </w:style>
  <w:style w:type="character" w:styleId="SubtleEmphasis">
    <w:name w:val="Subtle Emphasis"/>
    <w:aliases w:val="Ênfase Discreto1"/>
    <w:basedOn w:val="DefaultParagraphFont"/>
    <w:uiPriority w:val="19"/>
    <w:qFormat/>
    <w:rsid w:val="00B52496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B52496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B52496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B52496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B52496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B52496"/>
    <w:pPr>
      <w:outlineLvl w:val="9"/>
    </w:pPr>
  </w:style>
  <w:style w:type="table" w:styleId="TableGrid">
    <w:name w:val="Table Grid"/>
    <w:basedOn w:val="TableNormal"/>
    <w:uiPriority w:val="59"/>
    <w:rsid w:val="00AD64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7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D9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0B62"/>
  </w:style>
  <w:style w:type="paragraph" w:styleId="Footer">
    <w:name w:val="footer"/>
    <w:basedOn w:val="Normal"/>
    <w:link w:val="FooterChar"/>
    <w:uiPriority w:val="99"/>
    <w:unhideWhenUsed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0B62"/>
  </w:style>
  <w:style w:type="paragraph" w:styleId="FootnoteText">
    <w:name w:val="footnote text"/>
    <w:basedOn w:val="Normal"/>
    <w:link w:val="FootnoteTextChar"/>
    <w:uiPriority w:val="99"/>
    <w:semiHidden/>
    <w:unhideWhenUsed/>
    <w:rsid w:val="004B111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B111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B1118"/>
    <w:rPr>
      <w:vertAlign w:val="superscript"/>
    </w:rPr>
  </w:style>
  <w:style w:type="table" w:styleId="LightList-Accent1">
    <w:name w:val="Light List Accent 1"/>
    <w:basedOn w:val="TableNormal"/>
    <w:uiPriority w:val="61"/>
    <w:rsid w:val="00AF5C91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Shading-Accent1">
    <w:name w:val="Light Shading Accent 1"/>
    <w:basedOn w:val="TableNormal"/>
    <w:uiPriority w:val="60"/>
    <w:rsid w:val="00273F5B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EndnoteText">
    <w:name w:val="endnote text"/>
    <w:basedOn w:val="Normal"/>
    <w:link w:val="EndnoteTextChar"/>
    <w:uiPriority w:val="99"/>
    <w:semiHidden/>
    <w:unhideWhenUsed/>
    <w:rsid w:val="00C8082B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8082B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C8082B"/>
    <w:rPr>
      <w:vertAlign w:val="superscript"/>
    </w:rPr>
  </w:style>
  <w:style w:type="table" w:styleId="ColorfulShading-Accent5">
    <w:name w:val="Colorful Shading Accent 5"/>
    <w:basedOn w:val="TableNormal"/>
    <w:uiPriority w:val="71"/>
    <w:rsid w:val="0007582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2496"/>
  </w:style>
  <w:style w:type="paragraph" w:styleId="Heading1">
    <w:name w:val="heading 1"/>
    <w:basedOn w:val="Normal"/>
    <w:next w:val="Normal"/>
    <w:link w:val="Heading1Char"/>
    <w:uiPriority w:val="9"/>
    <w:qFormat/>
    <w:rsid w:val="00B524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5249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5249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5249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249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249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249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249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249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">
    <w:name w:val="Bullet"/>
    <w:basedOn w:val="ListParagraph"/>
    <w:link w:val="BulletCarcter"/>
    <w:rsid w:val="00B52496"/>
    <w:pPr>
      <w:numPr>
        <w:numId w:val="1"/>
      </w:numPr>
    </w:pPr>
  </w:style>
  <w:style w:type="character" w:customStyle="1" w:styleId="BulletCarcter">
    <w:name w:val="Bullet Carácter"/>
    <w:basedOn w:val="ListParagraphChar"/>
    <w:link w:val="Bullet"/>
    <w:rsid w:val="00B52496"/>
  </w:style>
  <w:style w:type="paragraph" w:styleId="ListParagraph">
    <w:name w:val="List Paragraph"/>
    <w:basedOn w:val="Normal"/>
    <w:link w:val="ListParagraphChar"/>
    <w:uiPriority w:val="34"/>
    <w:qFormat/>
    <w:rsid w:val="00B52496"/>
    <w:pPr>
      <w:ind w:left="720"/>
      <w:contextualSpacing/>
    </w:pPr>
  </w:style>
  <w:style w:type="paragraph" w:customStyle="1" w:styleId="BulletSuublinhado">
    <w:name w:val="Bullet Suublinhado"/>
    <w:basedOn w:val="ListParagraph"/>
    <w:link w:val="BulletSuublinhadoCarcter"/>
    <w:rsid w:val="00B52496"/>
    <w:pPr>
      <w:spacing w:before="120" w:after="0" w:line="360" w:lineRule="auto"/>
      <w:ind w:hanging="360"/>
    </w:pPr>
    <w:rPr>
      <w:rFonts w:cs="Arial"/>
      <w:u w:val="single"/>
    </w:rPr>
  </w:style>
  <w:style w:type="character" w:customStyle="1" w:styleId="BulletSuublinhadoCarcter">
    <w:name w:val="Bullet Suublinhado Carácter"/>
    <w:basedOn w:val="ListParagraphChar"/>
    <w:link w:val="BulletSuublinhado"/>
    <w:rsid w:val="00B52496"/>
    <w:rPr>
      <w:rFonts w:cs="Arial"/>
      <w:u w:val="single"/>
    </w:rPr>
  </w:style>
  <w:style w:type="paragraph" w:customStyle="1" w:styleId="Indentado">
    <w:name w:val="Indentado"/>
    <w:basedOn w:val="Normal"/>
    <w:link w:val="IndentadoCarcter"/>
    <w:rsid w:val="00B52496"/>
    <w:pPr>
      <w:ind w:left="708"/>
    </w:pPr>
  </w:style>
  <w:style w:type="character" w:customStyle="1" w:styleId="IndentadoCarcter">
    <w:name w:val="Indentado Carácter"/>
    <w:basedOn w:val="DefaultParagraphFont"/>
    <w:link w:val="Indentado"/>
    <w:rsid w:val="00B52496"/>
  </w:style>
  <w:style w:type="paragraph" w:customStyle="1" w:styleId="Fonte">
    <w:name w:val="Fonte"/>
    <w:basedOn w:val="Normal"/>
    <w:link w:val="FonteCarcter"/>
    <w:rsid w:val="00B52496"/>
    <w:pPr>
      <w:jc w:val="center"/>
    </w:pPr>
    <w:rPr>
      <w:sz w:val="18"/>
    </w:rPr>
  </w:style>
  <w:style w:type="character" w:customStyle="1" w:styleId="FonteCarcter">
    <w:name w:val="Fonte Carácter"/>
    <w:basedOn w:val="DefaultParagraphFont"/>
    <w:link w:val="Fonte"/>
    <w:rsid w:val="00B52496"/>
    <w:rPr>
      <w:sz w:val="18"/>
    </w:rPr>
  </w:style>
  <w:style w:type="paragraph" w:customStyle="1" w:styleId="TtuloTabela">
    <w:name w:val="TítuloTabela"/>
    <w:basedOn w:val="Indentado"/>
    <w:link w:val="TtuloTabelaCarcter"/>
    <w:rsid w:val="00B52496"/>
    <w:pPr>
      <w:ind w:left="0"/>
      <w:jc w:val="center"/>
    </w:pPr>
    <w:rPr>
      <w:b/>
      <w:sz w:val="20"/>
    </w:rPr>
  </w:style>
  <w:style w:type="character" w:customStyle="1" w:styleId="TtuloTabelaCarcter">
    <w:name w:val="TítuloTabela Carácter"/>
    <w:basedOn w:val="IndentadoCarcter"/>
    <w:link w:val="TtuloTabela"/>
    <w:rsid w:val="00B52496"/>
    <w:rPr>
      <w:b/>
      <w:sz w:val="20"/>
    </w:rPr>
  </w:style>
  <w:style w:type="character" w:customStyle="1" w:styleId="Heading1Char">
    <w:name w:val="Heading 1 Char"/>
    <w:basedOn w:val="DefaultParagraphFont"/>
    <w:link w:val="Heading1"/>
    <w:uiPriority w:val="9"/>
    <w:rsid w:val="00B524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B524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5249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B5249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249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249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249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2496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249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OC1">
    <w:name w:val="toc 1"/>
    <w:basedOn w:val="Normal"/>
    <w:next w:val="Normal"/>
    <w:autoRedefine/>
    <w:uiPriority w:val="39"/>
    <w:rsid w:val="00B52496"/>
    <w:pPr>
      <w:spacing w:before="120" w:after="120"/>
    </w:pPr>
    <w:rPr>
      <w:b/>
      <w:bCs/>
      <w:caps/>
      <w:sz w:val="20"/>
      <w:szCs w:val="20"/>
    </w:rPr>
  </w:style>
  <w:style w:type="paragraph" w:styleId="TOC2">
    <w:name w:val="toc 2"/>
    <w:basedOn w:val="Normal"/>
    <w:next w:val="Normal"/>
    <w:autoRedefine/>
    <w:uiPriority w:val="39"/>
    <w:rsid w:val="00B52496"/>
    <w:pPr>
      <w:ind w:left="240"/>
    </w:pPr>
    <w:rPr>
      <w:smallCaps/>
      <w:sz w:val="20"/>
      <w:szCs w:val="20"/>
    </w:rPr>
  </w:style>
  <w:style w:type="paragraph" w:styleId="TOC3">
    <w:name w:val="toc 3"/>
    <w:basedOn w:val="Normal"/>
    <w:next w:val="Normal"/>
    <w:autoRedefine/>
    <w:uiPriority w:val="39"/>
    <w:rsid w:val="00B52496"/>
    <w:pPr>
      <w:ind w:left="480"/>
    </w:pPr>
    <w:rPr>
      <w:i/>
      <w:iCs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5249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B5249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5249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249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5249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B52496"/>
    <w:rPr>
      <w:b/>
      <w:bCs/>
    </w:rPr>
  </w:style>
  <w:style w:type="character" w:styleId="Emphasis">
    <w:name w:val="Emphasis"/>
    <w:basedOn w:val="DefaultParagraphFont"/>
    <w:uiPriority w:val="20"/>
    <w:qFormat/>
    <w:rsid w:val="00B52496"/>
    <w:rPr>
      <w:i/>
      <w:iCs/>
    </w:rPr>
  </w:style>
  <w:style w:type="paragraph" w:styleId="NoSpacing">
    <w:name w:val="No Spacing"/>
    <w:link w:val="NoSpacingChar"/>
    <w:uiPriority w:val="1"/>
    <w:qFormat/>
    <w:rsid w:val="00B52496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B52496"/>
  </w:style>
  <w:style w:type="character" w:customStyle="1" w:styleId="ListParagraphChar">
    <w:name w:val="List Paragraph Char"/>
    <w:basedOn w:val="DefaultParagraphFont"/>
    <w:link w:val="ListParagraph"/>
    <w:uiPriority w:val="34"/>
    <w:rsid w:val="00B52496"/>
  </w:style>
  <w:style w:type="paragraph" w:styleId="Quote">
    <w:name w:val="Quote"/>
    <w:basedOn w:val="Normal"/>
    <w:next w:val="Normal"/>
    <w:link w:val="QuoteChar"/>
    <w:uiPriority w:val="29"/>
    <w:qFormat/>
    <w:rsid w:val="00B52496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B52496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249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2496"/>
    <w:rPr>
      <w:b/>
      <w:bCs/>
      <w:i/>
      <w:iCs/>
      <w:color w:val="4F81BD" w:themeColor="accent1"/>
    </w:rPr>
  </w:style>
  <w:style w:type="character" w:styleId="SubtleEmphasis">
    <w:name w:val="Subtle Emphasis"/>
    <w:aliases w:val="Ênfase Discreto1"/>
    <w:basedOn w:val="DefaultParagraphFont"/>
    <w:uiPriority w:val="19"/>
    <w:qFormat/>
    <w:rsid w:val="00B52496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B52496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B52496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B52496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B52496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B52496"/>
    <w:pPr>
      <w:outlineLvl w:val="9"/>
    </w:pPr>
  </w:style>
  <w:style w:type="table" w:styleId="TableGrid">
    <w:name w:val="Table Grid"/>
    <w:basedOn w:val="TableNormal"/>
    <w:uiPriority w:val="59"/>
    <w:rsid w:val="00AD64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7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D9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0B62"/>
  </w:style>
  <w:style w:type="paragraph" w:styleId="Footer">
    <w:name w:val="footer"/>
    <w:basedOn w:val="Normal"/>
    <w:link w:val="FooterChar"/>
    <w:uiPriority w:val="99"/>
    <w:unhideWhenUsed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0B62"/>
  </w:style>
  <w:style w:type="paragraph" w:styleId="FootnoteText">
    <w:name w:val="footnote text"/>
    <w:basedOn w:val="Normal"/>
    <w:link w:val="FootnoteTextChar"/>
    <w:uiPriority w:val="99"/>
    <w:semiHidden/>
    <w:unhideWhenUsed/>
    <w:rsid w:val="004B111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B111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B1118"/>
    <w:rPr>
      <w:vertAlign w:val="superscript"/>
    </w:rPr>
  </w:style>
  <w:style w:type="table" w:styleId="LightList-Accent1">
    <w:name w:val="Light List Accent 1"/>
    <w:basedOn w:val="TableNormal"/>
    <w:uiPriority w:val="61"/>
    <w:rsid w:val="00AF5C91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Shading-Accent1">
    <w:name w:val="Light Shading Accent 1"/>
    <w:basedOn w:val="TableNormal"/>
    <w:uiPriority w:val="60"/>
    <w:rsid w:val="00273F5B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EndnoteText">
    <w:name w:val="endnote text"/>
    <w:basedOn w:val="Normal"/>
    <w:link w:val="EndnoteTextChar"/>
    <w:uiPriority w:val="99"/>
    <w:semiHidden/>
    <w:unhideWhenUsed/>
    <w:rsid w:val="00C8082B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8082B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C8082B"/>
    <w:rPr>
      <w:vertAlign w:val="superscript"/>
    </w:rPr>
  </w:style>
  <w:style w:type="table" w:styleId="ColorfulShading-Accent5">
    <w:name w:val="Colorful Shading Accent 5"/>
    <w:basedOn w:val="TableNormal"/>
    <w:uiPriority w:val="71"/>
    <w:rsid w:val="0007582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DF2111-1092-45C2-A344-A9F0E2DC6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2797</Words>
  <Characters>15104</Characters>
  <Application>Microsoft Office Word</Application>
  <DocSecurity>0</DocSecurity>
  <Lines>125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FS</dc:creator>
  <cp:lastModifiedBy>UC</cp:lastModifiedBy>
  <cp:revision>8</cp:revision>
  <cp:lastPrinted>2015-09-08T17:20:00Z</cp:lastPrinted>
  <dcterms:created xsi:type="dcterms:W3CDTF">2015-09-08T16:06:00Z</dcterms:created>
  <dcterms:modified xsi:type="dcterms:W3CDTF">2015-09-08T19:52:00Z</dcterms:modified>
</cp:coreProperties>
</file>