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B78" w:rsidRDefault="002D4B78" w:rsidP="002D4B78">
      <w:pPr>
        <w:pStyle w:val="Cabealho1"/>
        <w:numPr>
          <w:ilvl w:val="0"/>
          <w:numId w:val="0"/>
        </w:numPr>
        <w:spacing w:after="18"/>
        <w:ind w:left="10"/>
        <w:jc w:val="center"/>
      </w:pPr>
      <w:bookmarkStart w:id="0" w:name="_Toc43812189"/>
      <w:r w:rsidRPr="00EC65D2">
        <w:rPr>
          <w:rFonts w:ascii="Calibri Light" w:hAnsi="Calibri Light" w:cs="Arial"/>
          <w:color w:val="000000" w:themeColor="text1"/>
          <w:szCs w:val="24"/>
        </w:rPr>
        <w:t>ANEXO II</w:t>
      </w:r>
      <w:r>
        <w:rPr>
          <w:rFonts w:ascii="Calibri Light" w:hAnsi="Calibri Light" w:cs="Arial"/>
          <w:color w:val="000000" w:themeColor="text1"/>
          <w:szCs w:val="24"/>
        </w:rPr>
        <w:t xml:space="preserve"> </w:t>
      </w:r>
      <w:r w:rsidRPr="002D4B78">
        <w:rPr>
          <w:rFonts w:ascii="Calibri Light" w:hAnsi="Calibri Light" w:cs="Arial"/>
          <w:color w:val="000000" w:themeColor="text1"/>
          <w:szCs w:val="24"/>
        </w:rPr>
        <w:t>– Documentação Obrigatória na Instrução de Candidaturas</w:t>
      </w:r>
      <w:bookmarkEnd w:id="0"/>
      <w:r>
        <w:rPr>
          <w:sz w:val="28"/>
        </w:rPr>
        <w:t xml:space="preserve"> </w:t>
      </w:r>
    </w:p>
    <w:p w:rsidR="002D4B78" w:rsidRPr="00341A87" w:rsidRDefault="002D4B78" w:rsidP="002D4B78">
      <w:pPr>
        <w:rPr>
          <w:sz w:val="18"/>
          <w:szCs w:val="18"/>
        </w:rPr>
      </w:pP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 xml:space="preserve">Memória descritiva e justificativa que inclua: 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TrebuchetMS"/>
          <w:sz w:val="22"/>
        </w:rPr>
        <w:t xml:space="preserve">Enquadramento </w:t>
      </w:r>
      <w:proofErr w:type="gramStart"/>
      <w:r w:rsidRPr="002D4B78">
        <w:rPr>
          <w:rFonts w:ascii="Calibri Light" w:hAnsi="Calibri Light" w:cs="TrebuchetMS"/>
          <w:sz w:val="22"/>
        </w:rPr>
        <w:t>na(s</w:t>
      </w:r>
      <w:proofErr w:type="gramEnd"/>
      <w:r w:rsidRPr="002D4B78">
        <w:rPr>
          <w:rFonts w:ascii="Calibri Light" w:hAnsi="Calibri Light" w:cs="TrebuchetMS"/>
          <w:sz w:val="22"/>
        </w:rPr>
        <w:t>) tipologia(s) de investimento prevista(s) no aviso de concurso.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TrebuchetMS"/>
          <w:sz w:val="22"/>
        </w:rPr>
        <w:t>Descrição detalhada da candidatura, dos seus objetivos e da necessidade e oportunidade da realização da operação.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TrebuchetMS"/>
          <w:sz w:val="22"/>
        </w:rPr>
        <w:t>Calendário de realização física e financeira.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color w:val="auto"/>
          <w:sz w:val="22"/>
        </w:rPr>
      </w:pPr>
      <w:r w:rsidRPr="002D4B78">
        <w:rPr>
          <w:rFonts w:ascii="Calibri Light" w:hAnsi="Calibri Light" w:cs="TrebuchetMS"/>
          <w:sz w:val="22"/>
        </w:rPr>
        <w:t xml:space="preserve">Identificação e justificação dos Indicadores de </w:t>
      </w:r>
      <w:r w:rsidRPr="002D4B78">
        <w:rPr>
          <w:rFonts w:ascii="Calibri Light" w:hAnsi="Calibri Light" w:cs="TrebuchetMS"/>
          <w:color w:val="000000" w:themeColor="text1"/>
          <w:sz w:val="22"/>
        </w:rPr>
        <w:t xml:space="preserve">realização e de resultado </w:t>
      </w:r>
      <w:r w:rsidRPr="002D4B78">
        <w:rPr>
          <w:rFonts w:ascii="Calibri Light" w:hAnsi="Calibri Light" w:cs="TrebuchetMS"/>
          <w:sz w:val="22"/>
        </w:rPr>
        <w:t>que permitam avaliar o contributo da candidatura para os respetivos objetivos.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color w:val="auto"/>
          <w:sz w:val="22"/>
        </w:rPr>
      </w:pPr>
      <w:r w:rsidRPr="002D4B78">
        <w:rPr>
          <w:rFonts w:ascii="Calibri Light" w:hAnsi="Calibri Light" w:cs="TrebuchetMS"/>
          <w:color w:val="auto"/>
          <w:sz w:val="22"/>
        </w:rPr>
        <w:t xml:space="preserve">Caracterização técnica e fundamentação de cada componente de investimento, </w:t>
      </w:r>
      <w:r w:rsidRPr="002D4B78">
        <w:rPr>
          <w:rFonts w:ascii="Calibri Light" w:hAnsi="Calibri Light" w:cs="TrebuchetMS"/>
          <w:sz w:val="22"/>
        </w:rPr>
        <w:t xml:space="preserve">incluindo cálculos justificativos do apuramento do investimento elegível e não elegível propostos e a respetiva calendarização de realização física e financeira. Deverá ainda ser enviada a mesma informação em ficheiro </w:t>
      </w:r>
      <w:r w:rsidR="00624740" w:rsidRPr="002D4B78">
        <w:rPr>
          <w:rFonts w:ascii="Calibri Light" w:hAnsi="Calibri Light" w:cs="TrebuchetMS"/>
          <w:sz w:val="22"/>
        </w:rPr>
        <w:t>Excel</w:t>
      </w:r>
      <w:r w:rsidRPr="002D4B78">
        <w:rPr>
          <w:rFonts w:ascii="Calibri Light" w:hAnsi="Calibri Light" w:cs="TrebuchetMS"/>
          <w:sz w:val="22"/>
        </w:rPr>
        <w:t xml:space="preserve"> editável </w:t>
      </w:r>
      <w:r w:rsidRPr="002D4B78">
        <w:rPr>
          <w:rFonts w:ascii="Calibri Light" w:hAnsi="Calibri Light" w:cs="TrebuchetMS"/>
          <w:color w:val="auto"/>
          <w:sz w:val="22"/>
        </w:rPr>
        <w:t>(modelo em anexo ao aviso</w:t>
      </w:r>
      <w:r w:rsidR="00624740">
        <w:rPr>
          <w:rFonts w:ascii="Calibri Light" w:hAnsi="Calibri Light" w:cs="TrebuchetMS"/>
          <w:color w:val="auto"/>
          <w:sz w:val="22"/>
        </w:rPr>
        <w:t xml:space="preserve"> </w:t>
      </w:r>
      <w:r w:rsidRPr="002D4B78">
        <w:rPr>
          <w:rFonts w:ascii="Calibri Light" w:hAnsi="Calibri Light" w:cs="TrebuchetMS"/>
          <w:color w:val="auto"/>
          <w:sz w:val="22"/>
        </w:rPr>
        <w:t>“</w:t>
      </w:r>
      <w:proofErr w:type="spellStart"/>
      <w:r w:rsidRPr="002D4B78">
        <w:rPr>
          <w:rFonts w:ascii="Calibri Light" w:hAnsi="Calibri Light" w:cs="TrebuchetMS"/>
          <w:color w:val="auto"/>
          <w:sz w:val="22"/>
        </w:rPr>
        <w:t>Modelo_Orcamento_Global_Op</w:t>
      </w:r>
      <w:proofErr w:type="spellEnd"/>
      <w:r w:rsidRPr="002D4B78">
        <w:rPr>
          <w:rFonts w:ascii="Calibri Light" w:hAnsi="Calibri Light" w:cs="TrebuchetMS"/>
          <w:color w:val="auto"/>
          <w:sz w:val="22"/>
        </w:rPr>
        <w:t>”).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color w:val="auto"/>
          <w:sz w:val="22"/>
          <w:u w:val="single"/>
        </w:rPr>
      </w:pPr>
      <w:r w:rsidRPr="002D4B78">
        <w:rPr>
          <w:rFonts w:ascii="Calibri Light" w:hAnsi="Calibri Light" w:cs="TrebuchetMS"/>
          <w:color w:val="auto"/>
          <w:sz w:val="22"/>
        </w:rPr>
        <w:t xml:space="preserve">Justificação detalhada da correspondência entre os valores propostos para as </w:t>
      </w:r>
      <w:r w:rsidRPr="002D4B78">
        <w:rPr>
          <w:rFonts w:ascii="Calibri Light" w:hAnsi="Calibri Light" w:cs="TrebuchetMS"/>
          <w:sz w:val="22"/>
        </w:rPr>
        <w:t xml:space="preserve">componentes e as ações, e respetivos procedimentos contratuais. Deverá ainda ser enviada a mesma informação em ficheiro </w:t>
      </w:r>
      <w:r w:rsidR="00624740" w:rsidRPr="002D4B78">
        <w:rPr>
          <w:rFonts w:ascii="Calibri Light" w:hAnsi="Calibri Light" w:cs="TrebuchetMS"/>
          <w:sz w:val="22"/>
        </w:rPr>
        <w:t>Excel</w:t>
      </w:r>
      <w:bookmarkStart w:id="1" w:name="_GoBack"/>
      <w:bookmarkEnd w:id="1"/>
      <w:r w:rsidRPr="002D4B78">
        <w:rPr>
          <w:rFonts w:ascii="Calibri Light" w:hAnsi="Calibri Light" w:cs="TrebuchetMS"/>
          <w:sz w:val="22"/>
        </w:rPr>
        <w:t xml:space="preserve"> editável </w:t>
      </w:r>
      <w:r w:rsidRPr="002D4B78">
        <w:rPr>
          <w:rFonts w:ascii="Calibri Light" w:hAnsi="Calibri Light" w:cs="TrebuchetMS"/>
          <w:color w:val="auto"/>
          <w:sz w:val="22"/>
        </w:rPr>
        <w:t>(modelo em anexo ao aviso “</w:t>
      </w:r>
      <w:proofErr w:type="spellStart"/>
      <w:r w:rsidRPr="002D4B78">
        <w:rPr>
          <w:rFonts w:ascii="Calibri Light" w:hAnsi="Calibri Light" w:cs="TrebuchetMS"/>
          <w:color w:val="auto"/>
          <w:sz w:val="22"/>
        </w:rPr>
        <w:t>Modelo_Orcamento_Global_Op</w:t>
      </w:r>
      <w:proofErr w:type="spellEnd"/>
      <w:r w:rsidRPr="002D4B78">
        <w:rPr>
          <w:rFonts w:ascii="Calibri Light" w:hAnsi="Calibri Light" w:cs="TrebuchetMS"/>
          <w:color w:val="auto"/>
          <w:sz w:val="22"/>
        </w:rPr>
        <w:t>”).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color w:val="auto"/>
          <w:sz w:val="22"/>
        </w:rPr>
      </w:pPr>
      <w:r w:rsidRPr="002D4B78">
        <w:rPr>
          <w:rFonts w:ascii="Calibri Light" w:hAnsi="Calibri Light" w:cs="TrebuchetMS"/>
          <w:color w:val="auto"/>
          <w:sz w:val="22"/>
        </w:rPr>
        <w:t>Síntese do Grau de maturidade de cada componente de investimento.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TrebuchetMS"/>
          <w:sz w:val="22"/>
        </w:rPr>
        <w:t>Sustentabilidade da candidatura após realização do investimento.</w:t>
      </w:r>
    </w:p>
    <w:p w:rsidR="002D4B78" w:rsidRPr="002D4B78" w:rsidRDefault="002D4B78" w:rsidP="002D4B7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TrebuchetMS"/>
          <w:sz w:val="22"/>
        </w:rPr>
        <w:t>Plano de comunicação a desenvolver no decurso da implementação da operação e na sua conclusão, de acordo com a alínea f) do artigo 247º do REISE.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Arial"/>
          <w:sz w:val="22"/>
        </w:rPr>
        <w:t xml:space="preserve">Documentação comprovativa do grau de maturidade </w:t>
      </w:r>
      <w:r w:rsidRPr="002D4B78">
        <w:rPr>
          <w:rFonts w:ascii="Calibri Light" w:hAnsi="Calibri Light" w:cs="TrebuchetMS"/>
          <w:color w:val="auto"/>
          <w:sz w:val="22"/>
        </w:rPr>
        <w:t>das componentes de investimento</w:t>
      </w:r>
      <w:r w:rsidRPr="002D4B78">
        <w:rPr>
          <w:rFonts w:ascii="Calibri Light" w:hAnsi="Calibri Light" w:cs="Arial"/>
          <w:color w:val="auto"/>
          <w:sz w:val="22"/>
        </w:rPr>
        <w:t xml:space="preserve"> </w:t>
      </w:r>
      <w:r w:rsidRPr="002D4B78">
        <w:rPr>
          <w:rFonts w:ascii="Calibri Light" w:hAnsi="Calibri Light" w:cs="Arial"/>
          <w:sz w:val="22"/>
        </w:rPr>
        <w:t>nos termos definidos no Aviso, designadamente: evidência do projeto aprovado pelas entidades competentes (deferimento do processo de licenciamento)</w:t>
      </w:r>
      <w:proofErr w:type="gramStart"/>
      <w:r w:rsidRPr="002D4B78">
        <w:rPr>
          <w:rFonts w:ascii="Calibri Light" w:hAnsi="Calibri Light" w:cs="Arial"/>
          <w:sz w:val="22"/>
        </w:rPr>
        <w:t>,</w:t>
      </w:r>
      <w:proofErr w:type="gramEnd"/>
      <w:r w:rsidRPr="002D4B78">
        <w:rPr>
          <w:rFonts w:ascii="Calibri Light" w:hAnsi="Calibri Light" w:cs="Arial"/>
          <w:sz w:val="22"/>
        </w:rPr>
        <w:t xml:space="preserve"> peças escritas e desenhadas do projeto de execução de arquitetura e especialidades e pareceres legais obrigatórios emitidos no âmbito do processo de licenciamento.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 xml:space="preserve">Informação técnica detalhada dos serviços camarários, nos termos do RJUE </w:t>
      </w:r>
      <w:r w:rsidRPr="002D4B78">
        <w:rPr>
          <w:rFonts w:ascii="Calibri Light" w:hAnsi="Calibri Light" w:cs="TrebuchetMS,Bold"/>
          <w:bCs/>
          <w:color w:val="auto"/>
          <w:sz w:val="22"/>
        </w:rPr>
        <w:t>(quando aplicável)</w:t>
      </w:r>
      <w:r w:rsidRPr="002D4B78">
        <w:rPr>
          <w:rFonts w:ascii="Calibri Light" w:hAnsi="Calibri Light" w:cs="TrebuchetMS,Bold"/>
          <w:bCs/>
          <w:sz w:val="22"/>
        </w:rPr>
        <w:t>, que comprove a observância da operação urbanística com as normas legais e regulamentares que lhes forem aplicáveis, designadamente as constantes de instrumento de gestão territorial, do regime jurídico de proteção do património cultural, do regime jurídico aplicável à gestão de resíduos de construção e demolição, e as normas técnicas de construção, acompanhada do extrato das Plantas de Ordenamento e de Condicionantes do PDM, identificando a área de intervenção da candidatura.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lastRenderedPageBreak/>
        <w:t>Pareceres/licenças emitidos (caso aplicável) pelas entidades competentes no âmbito de: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sz w:val="22"/>
        </w:rPr>
      </w:pPr>
      <w:r w:rsidRPr="002D4B78">
        <w:rPr>
          <w:rFonts w:ascii="Calibri Light" w:hAnsi="Calibri Light" w:cs="Arial"/>
          <w:sz w:val="22"/>
        </w:rPr>
        <w:t>Instrumentos de Gestão Territorial e restrições de utilidade pública.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color w:val="000000" w:themeColor="text1"/>
          <w:sz w:val="22"/>
        </w:rPr>
      </w:pPr>
      <w:r w:rsidRPr="002D4B78">
        <w:rPr>
          <w:rFonts w:ascii="Calibri Light" w:hAnsi="Calibri Light" w:cs="Arial"/>
          <w:color w:val="000000" w:themeColor="text1"/>
          <w:sz w:val="22"/>
        </w:rPr>
        <w:t>Domínio Hídrico.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color w:val="000000" w:themeColor="text1"/>
          <w:sz w:val="22"/>
        </w:rPr>
      </w:pPr>
      <w:r w:rsidRPr="002D4B78">
        <w:rPr>
          <w:rFonts w:ascii="Calibri Light" w:hAnsi="Calibri Light" w:cs="Arial"/>
          <w:color w:val="000000" w:themeColor="text1"/>
          <w:sz w:val="22"/>
        </w:rPr>
        <w:t>Avaliação de Impacte Ambiental.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color w:val="000000" w:themeColor="text1"/>
          <w:sz w:val="22"/>
        </w:rPr>
      </w:pPr>
      <w:r w:rsidRPr="002D4B78">
        <w:rPr>
          <w:rFonts w:ascii="Calibri Light" w:hAnsi="Calibri Light" w:cs="Arial"/>
          <w:color w:val="000000" w:themeColor="text1"/>
          <w:sz w:val="22"/>
        </w:rPr>
        <w:t>Pareceres setoriais (aplicáveis a cada operação face à Prioridade de Investimento em causa).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color w:val="000000" w:themeColor="text1"/>
          <w:sz w:val="22"/>
        </w:rPr>
      </w:pPr>
      <w:r w:rsidRPr="002D4B78">
        <w:rPr>
          <w:rFonts w:ascii="Calibri Light" w:hAnsi="Calibri Light" w:cs="Arial"/>
          <w:color w:val="000000" w:themeColor="text1"/>
          <w:sz w:val="22"/>
        </w:rPr>
        <w:t>Outra documentação específica decorrente do aviso.</w:t>
      </w:r>
    </w:p>
    <w:p w:rsidR="002D4B78" w:rsidRPr="002D4B78" w:rsidRDefault="002D4B78" w:rsidP="002D4B78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bCs/>
          <w:color w:val="000000" w:themeColor="text1"/>
          <w:sz w:val="22"/>
        </w:rPr>
      </w:pPr>
      <w:r w:rsidRPr="002D4B78">
        <w:rPr>
          <w:rFonts w:ascii="Calibri Light" w:hAnsi="Calibri Light" w:cs="Arial"/>
          <w:color w:val="000000" w:themeColor="text1"/>
          <w:sz w:val="22"/>
        </w:rPr>
        <w:t>Parecer de entidade externa competente que fundamenta a exceção à necessidade de pareceres técnicos e licenciamentos, autorizações e obrigações legalmente exigidas.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Estatutos da entidade promotora aprovados e publicitados (quando aplicável).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Documentação comprovativa da propriedade ou legitimidade para intervenção nos terrenos ou edifícios necessários à concretização da candidatura (incluindo planta com a identificação das respetivas parcelas).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Modelo de gestão das infraestruturas previstas na candidatura onde seja evidenciada a tipologia de exploração dos espaços e/ou equipamentos (concessão, arrendamento, venda, etc.), como e quem será responsável pela manutenção e conservação do espaços e/ou equipamentos, bem como a indicação/justificação dos custos e receitas associados.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 xml:space="preserve">No caso dos projetos geradores de receitas, demonstração do cumprimento das normas comunitárias e nacionais aplicáveis, nomeadamente o previsto no artigo 19.º do Decreto-Lei n.º 159/2014, de 27 de outubro, conforme orientação ou norma específica do Programa Operacional, através da apresentação </w:t>
      </w:r>
      <w:proofErr w:type="gramStart"/>
      <w:r w:rsidRPr="002D4B78">
        <w:rPr>
          <w:rFonts w:ascii="Calibri Light" w:hAnsi="Calibri Light" w:cs="TrebuchetMS,Bold"/>
          <w:bCs/>
          <w:sz w:val="22"/>
        </w:rPr>
        <w:t>de</w:t>
      </w:r>
      <w:proofErr w:type="gramEnd"/>
      <w:r w:rsidRPr="002D4B78">
        <w:rPr>
          <w:rFonts w:ascii="Calibri Light" w:hAnsi="Calibri Light" w:cs="TrebuchetMS,Bold"/>
          <w:bCs/>
          <w:sz w:val="22"/>
        </w:rPr>
        <w:t>:</w:t>
      </w:r>
    </w:p>
    <w:p w:rsidR="002D4B78" w:rsidRPr="002D4B78" w:rsidRDefault="002D4B78" w:rsidP="002D4B78">
      <w:pPr>
        <w:pStyle w:val="PargrafodaLista"/>
        <w:numPr>
          <w:ilvl w:val="0"/>
          <w:numId w:val="5"/>
        </w:numPr>
        <w:spacing w:after="0" w:line="360" w:lineRule="auto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Memória descritiva e justificativa dos valores constantes do mapa do apuramento do défice de financiamento, fundamentando os mesmos, incluindo um Plano de Gestão e Exploração que inclua informação sobre os respetivos recursos humanos envolvidos, receitas, assim como a forma como ficam assegurados os respetivos custos de manutenção e exploração.</w:t>
      </w:r>
    </w:p>
    <w:p w:rsidR="002D4B78" w:rsidRPr="002D4B78" w:rsidRDefault="002D4B78" w:rsidP="002D4B78">
      <w:pPr>
        <w:pStyle w:val="PargrafodaLista"/>
        <w:numPr>
          <w:ilvl w:val="0"/>
          <w:numId w:val="5"/>
        </w:numPr>
        <w:spacing w:after="0" w:line="360" w:lineRule="auto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Quadro síntese atualizado das receitas e custos estimados, desagregado por tipologia, depois da implementação do projeto, incluindo projeção de receitas e custos para os anos posteriores.</w:t>
      </w:r>
    </w:p>
    <w:p w:rsidR="002D4B78" w:rsidRPr="002D4B78" w:rsidRDefault="002D4B78" w:rsidP="002D4B78">
      <w:pPr>
        <w:pStyle w:val="PargrafodaLista"/>
        <w:numPr>
          <w:ilvl w:val="0"/>
          <w:numId w:val="5"/>
        </w:numPr>
        <w:spacing w:after="0" w:line="360" w:lineRule="auto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O quadro do apuramento do défice de financiamento (modelo em anexo ao presente aviso)</w:t>
      </w:r>
      <w:proofErr w:type="gramStart"/>
      <w:r w:rsidRPr="002D4B78">
        <w:rPr>
          <w:rFonts w:ascii="Calibri Light" w:hAnsi="Calibri Light" w:cs="TrebuchetMS,Bold"/>
          <w:bCs/>
          <w:sz w:val="22"/>
        </w:rPr>
        <w:t>,</w:t>
      </w:r>
      <w:proofErr w:type="gramEnd"/>
      <w:r w:rsidRPr="002D4B78">
        <w:rPr>
          <w:rFonts w:ascii="Calibri Light" w:hAnsi="Calibri Light" w:cs="TrebuchetMS,Bold"/>
          <w:bCs/>
          <w:sz w:val="22"/>
        </w:rPr>
        <w:t xml:space="preserve"> deverá ser apresentado em formato “</w:t>
      </w:r>
      <w:proofErr w:type="spellStart"/>
      <w:r w:rsidRPr="002D4B78">
        <w:rPr>
          <w:rFonts w:ascii="Calibri Light" w:hAnsi="Calibri Light" w:cs="TrebuchetMS,Bold"/>
          <w:bCs/>
          <w:sz w:val="22"/>
        </w:rPr>
        <w:t>excel</w:t>
      </w:r>
      <w:proofErr w:type="spellEnd"/>
      <w:r w:rsidRPr="002D4B78">
        <w:rPr>
          <w:rFonts w:ascii="Calibri Light" w:hAnsi="Calibri Light" w:cs="TrebuchetMS,Bold"/>
          <w:bCs/>
          <w:sz w:val="22"/>
        </w:rPr>
        <w:t>” editável, e o seu preenchimento deverá ser baseado nos seguintes pressupostos:</w:t>
      </w:r>
    </w:p>
    <w:p w:rsidR="002D4B78" w:rsidRPr="002D4B78" w:rsidRDefault="002D4B78" w:rsidP="002D4B78">
      <w:pPr>
        <w:spacing w:after="0" w:line="360" w:lineRule="auto"/>
        <w:ind w:left="1416" w:firstLine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lastRenderedPageBreak/>
        <w:t>- Os custos e as receitas apurados devem refletir uma análise incremental, devendo constar somente os acréscimos provenientes da realização da operação proposta, isto é, não deverão ser considerados custos/receitas preexistentes.</w:t>
      </w:r>
    </w:p>
    <w:p w:rsidR="002D4B78" w:rsidRPr="002D4B78" w:rsidRDefault="002D4B78" w:rsidP="002D4B78">
      <w:pPr>
        <w:spacing w:after="0" w:line="360" w:lineRule="auto"/>
        <w:ind w:left="1416" w:firstLine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- A evolução das receitas e dos custos deverá ser realizada a preços constantes (taxa de inflação = 0%).</w:t>
      </w:r>
    </w:p>
    <w:p w:rsidR="002D4B78" w:rsidRPr="002D4B78" w:rsidRDefault="002D4B78" w:rsidP="002D4B78">
      <w:pPr>
        <w:spacing w:after="0" w:line="360" w:lineRule="auto"/>
        <w:ind w:left="1416" w:firstLine="0"/>
        <w:rPr>
          <w:rFonts w:ascii="Calibri Light" w:hAnsi="Calibri Light" w:cs="TrebuchetMS,Bold"/>
          <w:bCs/>
          <w:sz w:val="22"/>
        </w:rPr>
      </w:pPr>
      <w:r w:rsidRPr="002D4B78">
        <w:rPr>
          <w:rFonts w:ascii="Calibri Light" w:hAnsi="Calibri Light" w:cs="TrebuchetMS,Bold"/>
          <w:bCs/>
          <w:sz w:val="22"/>
        </w:rPr>
        <w:t>- O período de referência a considerar para efeitos de apuramento do défice será, em regra de 15 anos após a conclusão do investimento, salvo exceções decorrentes da tipologia de infraestrutura.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Comprovativo do enquadramento do beneficiário e da operação em termos de IVA.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Contributo para a fundamentação da análise de mérito, atendendo aos critérios de seleção constantes do presente aviso.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Comprovativo da inscrição da totalidade dos investimentos propostos no orçamento da instituição, aprovados pelo órgão competente, devidamente assinado.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Declarações de compromisso do órgão competente da entidade em como assegura o cumprimento das orientações e normas técnicas aplicáveis decorrentes do Decreto-Lei n.º 159/2014, de 27 de outubro, alterado pelo Decreto-Lei nº 215/2015, de 6 de outubro e do REISE.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No caso de despesas inerentes à aquisição de imóveis que se revelem imprescindíveis, deverá ser apresentada a seguinte documentação comprovativa:</w:t>
      </w:r>
    </w:p>
    <w:p w:rsidR="002D4B78" w:rsidRPr="002D4B78" w:rsidRDefault="002D4B78" w:rsidP="002D4B78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Relação direta entre o imóvel e os objetivos da operação, só podendo ser utilizados em conformidade com os objetivos da operação em causa.</w:t>
      </w:r>
    </w:p>
    <w:p w:rsidR="002D4B78" w:rsidRPr="002D4B78" w:rsidRDefault="002D4B78" w:rsidP="002D4B78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Declaração de um avaliador independente e acreditado ou de um organismo oficial devidamente autorizado para o efeito, que certifique que o custo não excede o valor do mercado, que o bem está em conformidade com a legislação nacional ou, que especifique os pontos que, não estando conformes, devem ser retificados pelo beneficiário final no âmbito da operação.</w:t>
      </w:r>
    </w:p>
    <w:p w:rsidR="002D4B78" w:rsidRPr="002D4B78" w:rsidRDefault="002D4B78" w:rsidP="002D4B78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TrebuchetMS"/>
          <w:sz w:val="22"/>
        </w:rPr>
      </w:pPr>
      <w:r w:rsidRPr="002D4B78">
        <w:rPr>
          <w:rFonts w:ascii="Calibri Light" w:hAnsi="Calibri Light" w:cs="Arial"/>
          <w:sz w:val="22"/>
        </w:rPr>
        <w:t>Nos sete anos precedentes, o custo do imóvel não ter sido objeto de ajuda de subvenções nacionais ou comunitárias.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No caso da reabilitação de imóveis, documento comprovativo da idade do imóvel a intervencionar ou relatório do nível de conservação do imóvel.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Avaliação dos riscos associados à operação, designadamente de caráter financeiro ou de execução, nomeadamente os associados à existência de achados arqueológicos na área de incidência.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lastRenderedPageBreak/>
        <w:t>Declaração de compromisso, assinada por quem possa vincular a entidade, que ateste o cumprimento do previsto nas normais nacionais e comunitárias aplicáveis, bem como nas orientações e recomendações contidas nos pareceres da Autoridade de Gestão referentes ao mesmo.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r w:rsidRPr="002D4B78">
        <w:rPr>
          <w:rFonts w:ascii="Calibri Light" w:hAnsi="Calibri Light" w:cs="Arial"/>
          <w:sz w:val="22"/>
        </w:rPr>
        <w:t>Declaração de compromisso, assinada por quem possa vincular a Entidade, em como não tem salários em atraso reportados à data de apresentação da candidatura ou até ao momento de assinatura do termo de aceitação.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sz w:val="22"/>
        </w:rPr>
      </w:pPr>
      <w:proofErr w:type="spellStart"/>
      <w:r w:rsidRPr="002D4B78">
        <w:rPr>
          <w:rFonts w:ascii="Calibri Light" w:hAnsi="Calibri Light" w:cs="Arial"/>
          <w:sz w:val="22"/>
        </w:rPr>
        <w:t>Check-list</w:t>
      </w:r>
      <w:proofErr w:type="spellEnd"/>
      <w:r w:rsidRPr="002D4B78">
        <w:rPr>
          <w:rFonts w:ascii="Calibri Light" w:hAnsi="Calibri Light" w:cs="Arial"/>
          <w:sz w:val="22"/>
        </w:rPr>
        <w:t xml:space="preserve"> de verificação dos procedimentos contratuais</w:t>
      </w:r>
      <w:r w:rsidRPr="002D4B78">
        <w:rPr>
          <w:rFonts w:ascii="Calibri Light" w:hAnsi="Calibri Light" w:cs="Arial"/>
          <w:color w:val="auto"/>
          <w:sz w:val="22"/>
        </w:rPr>
        <w:t xml:space="preserve"> (modelo em anexo ao presente aviso)</w:t>
      </w:r>
      <w:r w:rsidRPr="002D4B78">
        <w:rPr>
          <w:rFonts w:ascii="Calibri Light" w:hAnsi="Calibri Light" w:cs="Arial"/>
          <w:sz w:val="22"/>
        </w:rPr>
        <w:t xml:space="preserve"> já concluídos (com </w:t>
      </w:r>
      <w:proofErr w:type="spellStart"/>
      <w:r w:rsidRPr="002D4B78">
        <w:rPr>
          <w:rFonts w:ascii="Calibri Light" w:hAnsi="Calibri Light" w:cs="Arial"/>
          <w:sz w:val="22"/>
        </w:rPr>
        <w:t>upload</w:t>
      </w:r>
      <w:proofErr w:type="spellEnd"/>
      <w:r w:rsidRPr="002D4B78">
        <w:rPr>
          <w:rFonts w:ascii="Calibri Light" w:hAnsi="Calibri Light" w:cs="Arial"/>
          <w:sz w:val="22"/>
        </w:rPr>
        <w:t xml:space="preserve"> dos respetivos documentos de suporte no módulo de contratos do Balcão2020 – disponível após submissão da candidatura) ou iniciados (com </w:t>
      </w:r>
      <w:proofErr w:type="spellStart"/>
      <w:r w:rsidRPr="002D4B78">
        <w:rPr>
          <w:rFonts w:ascii="Calibri Light" w:hAnsi="Calibri Light" w:cs="Arial"/>
          <w:sz w:val="22"/>
        </w:rPr>
        <w:t>upload</w:t>
      </w:r>
      <w:proofErr w:type="spellEnd"/>
      <w:r w:rsidRPr="002D4B78">
        <w:rPr>
          <w:rFonts w:ascii="Calibri Light" w:hAnsi="Calibri Light" w:cs="Arial"/>
          <w:sz w:val="22"/>
        </w:rPr>
        <w:t xml:space="preserve"> dos respetivos documentos de suporte já existentes, em anexo ao formulário de candidatura);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color w:val="auto"/>
          <w:sz w:val="22"/>
        </w:rPr>
      </w:pPr>
      <w:proofErr w:type="spellStart"/>
      <w:r w:rsidRPr="002D4B78">
        <w:rPr>
          <w:rFonts w:ascii="Calibri Light" w:hAnsi="Calibri Light" w:cs="Arial"/>
          <w:color w:val="auto"/>
          <w:sz w:val="22"/>
        </w:rPr>
        <w:t>Check-list</w:t>
      </w:r>
      <w:proofErr w:type="spellEnd"/>
      <w:r w:rsidRPr="002D4B78">
        <w:rPr>
          <w:rFonts w:ascii="Calibri Light" w:hAnsi="Calibri Light" w:cs="Arial"/>
          <w:color w:val="auto"/>
          <w:sz w:val="22"/>
        </w:rPr>
        <w:t xml:space="preserve"> de verificação das Regras Ambientais devidamente preenchida (modelo em anexo ao presente aviso).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color w:val="auto"/>
          <w:sz w:val="22"/>
        </w:rPr>
      </w:pPr>
      <w:proofErr w:type="spellStart"/>
      <w:r w:rsidRPr="002D4B78">
        <w:rPr>
          <w:rFonts w:ascii="Calibri Light" w:hAnsi="Calibri Light" w:cs="Arial"/>
          <w:sz w:val="22"/>
        </w:rPr>
        <w:t>Check-list</w:t>
      </w:r>
      <w:proofErr w:type="spellEnd"/>
      <w:r w:rsidRPr="002D4B78">
        <w:rPr>
          <w:rFonts w:ascii="Calibri Light" w:hAnsi="Calibri Light" w:cs="Arial"/>
          <w:sz w:val="22"/>
        </w:rPr>
        <w:t xml:space="preserve"> de “Igualdade de Oportunidades” devidamente preenchida </w:t>
      </w:r>
      <w:r w:rsidRPr="002D4B78">
        <w:rPr>
          <w:rFonts w:ascii="Calibri Light" w:hAnsi="Calibri Light" w:cs="Arial"/>
          <w:color w:val="auto"/>
          <w:sz w:val="22"/>
        </w:rPr>
        <w:t>(modelo em anexo ao presente aviso).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color w:val="auto"/>
          <w:sz w:val="22"/>
        </w:rPr>
      </w:pPr>
      <w:r w:rsidRPr="002D4B78">
        <w:rPr>
          <w:rFonts w:ascii="Calibri Light" w:hAnsi="Calibri Light" w:cs="Arial"/>
          <w:color w:val="auto"/>
          <w:sz w:val="22"/>
        </w:rPr>
        <w:t>Declaração de Compromisso do TOC/ROC/Responsável Financeiro (modelo em anexo ao presente aviso).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Calibri Light" w:hAnsi="Calibri Light" w:cs="Arial"/>
          <w:color w:val="auto"/>
          <w:sz w:val="22"/>
        </w:rPr>
      </w:pPr>
      <w:r w:rsidRPr="002D4B78">
        <w:rPr>
          <w:rFonts w:ascii="Calibri Light" w:hAnsi="Calibri Light" w:cs="Arial"/>
          <w:color w:val="auto"/>
          <w:sz w:val="22"/>
        </w:rPr>
        <w:t>Declaração de Compromisso do Beneficiário (modelo em anexo ao presente aviso).</w:t>
      </w:r>
    </w:p>
    <w:p w:rsidR="002D4B78" w:rsidRPr="002D4B78" w:rsidRDefault="002D4B78" w:rsidP="002D4B78">
      <w:pPr>
        <w:pStyle w:val="PargrafodaLista"/>
        <w:numPr>
          <w:ilvl w:val="0"/>
          <w:numId w:val="1"/>
        </w:numPr>
        <w:spacing w:line="360" w:lineRule="auto"/>
        <w:rPr>
          <w:rFonts w:ascii="Calibri Light" w:hAnsi="Calibri Light" w:cs="TrebuchetMS,Bold"/>
          <w:bCs/>
          <w:color w:val="auto"/>
          <w:sz w:val="22"/>
        </w:rPr>
      </w:pPr>
      <w:r w:rsidRPr="002D4B78">
        <w:rPr>
          <w:rFonts w:ascii="Calibri Light" w:hAnsi="Calibri Light" w:cs="Arial"/>
          <w:color w:val="auto"/>
          <w:sz w:val="22"/>
        </w:rPr>
        <w:t>Protocolo de Cooperação celebrado para a Estrutura Residencial para Pessoas Idosas – Mulheres vítimas de Violência Doméstica.</w:t>
      </w:r>
    </w:p>
    <w:p w:rsidR="00D73E62" w:rsidRPr="002D4B78" w:rsidRDefault="00624740">
      <w:pPr>
        <w:rPr>
          <w:rFonts w:ascii="Calibri Light" w:hAnsi="Calibri Light"/>
          <w:sz w:val="22"/>
        </w:rPr>
      </w:pPr>
    </w:p>
    <w:sectPr w:rsidR="00D73E62" w:rsidRPr="002D4B7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8DA" w:rsidRDefault="004658DA" w:rsidP="004658DA">
      <w:pPr>
        <w:spacing w:after="0" w:line="240" w:lineRule="auto"/>
      </w:pPr>
      <w:r>
        <w:separator/>
      </w:r>
    </w:p>
  </w:endnote>
  <w:endnote w:type="continuationSeparator" w:id="0">
    <w:p w:rsidR="004658DA" w:rsidRDefault="004658DA" w:rsidP="0046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MS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8DA" w:rsidRDefault="004658DA" w:rsidP="004658DA">
      <w:pPr>
        <w:spacing w:after="0" w:line="240" w:lineRule="auto"/>
      </w:pPr>
      <w:r>
        <w:separator/>
      </w:r>
    </w:p>
  </w:footnote>
  <w:footnote w:type="continuationSeparator" w:id="0">
    <w:p w:rsidR="004658DA" w:rsidRDefault="004658DA" w:rsidP="00465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DA" w:rsidRDefault="004658DA" w:rsidP="004658DA">
    <w:pPr>
      <w:pStyle w:val="Cabealho"/>
      <w:ind w:left="0"/>
    </w:pPr>
    <w:r>
      <w:rPr>
        <w:noProof/>
        <w:sz w:val="18"/>
      </w:rPr>
      <w:drawing>
        <wp:inline distT="0" distB="0" distL="0" distR="0" wp14:anchorId="681C34C1" wp14:editId="1D20CBAC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658DA" w:rsidRDefault="004658DA" w:rsidP="004658DA">
    <w:pPr>
      <w:pStyle w:val="Cabealho"/>
      <w:ind w:left="0"/>
    </w:pPr>
  </w:p>
  <w:p w:rsidR="004658DA" w:rsidRDefault="004658D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B2C7E"/>
    <w:multiLevelType w:val="hybridMultilevel"/>
    <w:tmpl w:val="C5CE2B00"/>
    <w:lvl w:ilvl="0" w:tplc="06A67BB8">
      <w:start w:val="1"/>
      <w:numFmt w:val="lowerLetter"/>
      <w:lvlText w:val="%1)"/>
      <w:lvlJc w:val="left"/>
      <w:pPr>
        <w:ind w:left="720" w:hanging="360"/>
      </w:pPr>
      <w:rPr>
        <w:rFonts w:ascii="Trebuchet MS" w:eastAsia="Times New Roman" w:hAnsi="Trebuchet MS" w:cs="TrebuchetMS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6309A"/>
    <w:multiLevelType w:val="hybridMultilevel"/>
    <w:tmpl w:val="74DCA686"/>
    <w:lvl w:ilvl="0" w:tplc="D1AA27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B313CBD"/>
    <w:multiLevelType w:val="hybridMultilevel"/>
    <w:tmpl w:val="E634FAD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607B9"/>
    <w:multiLevelType w:val="hybridMultilevel"/>
    <w:tmpl w:val="CA3E4BE6"/>
    <w:lvl w:ilvl="0" w:tplc="AE1E349C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52" w:hanging="360"/>
      </w:pPr>
    </w:lvl>
    <w:lvl w:ilvl="2" w:tplc="0816001B" w:tentative="1">
      <w:start w:val="1"/>
      <w:numFmt w:val="lowerRoman"/>
      <w:lvlText w:val="%3."/>
      <w:lvlJc w:val="right"/>
      <w:pPr>
        <w:ind w:left="2172" w:hanging="180"/>
      </w:pPr>
    </w:lvl>
    <w:lvl w:ilvl="3" w:tplc="0816000F" w:tentative="1">
      <w:start w:val="1"/>
      <w:numFmt w:val="decimal"/>
      <w:lvlText w:val="%4."/>
      <w:lvlJc w:val="left"/>
      <w:pPr>
        <w:ind w:left="2892" w:hanging="360"/>
      </w:pPr>
    </w:lvl>
    <w:lvl w:ilvl="4" w:tplc="08160019" w:tentative="1">
      <w:start w:val="1"/>
      <w:numFmt w:val="lowerLetter"/>
      <w:lvlText w:val="%5."/>
      <w:lvlJc w:val="left"/>
      <w:pPr>
        <w:ind w:left="3612" w:hanging="360"/>
      </w:pPr>
    </w:lvl>
    <w:lvl w:ilvl="5" w:tplc="0816001B" w:tentative="1">
      <w:start w:val="1"/>
      <w:numFmt w:val="lowerRoman"/>
      <w:lvlText w:val="%6."/>
      <w:lvlJc w:val="right"/>
      <w:pPr>
        <w:ind w:left="4332" w:hanging="180"/>
      </w:pPr>
    </w:lvl>
    <w:lvl w:ilvl="6" w:tplc="0816000F" w:tentative="1">
      <w:start w:val="1"/>
      <w:numFmt w:val="decimal"/>
      <w:lvlText w:val="%7."/>
      <w:lvlJc w:val="left"/>
      <w:pPr>
        <w:ind w:left="5052" w:hanging="360"/>
      </w:pPr>
    </w:lvl>
    <w:lvl w:ilvl="7" w:tplc="08160019" w:tentative="1">
      <w:start w:val="1"/>
      <w:numFmt w:val="lowerLetter"/>
      <w:lvlText w:val="%8."/>
      <w:lvlJc w:val="left"/>
      <w:pPr>
        <w:ind w:left="5772" w:hanging="360"/>
      </w:pPr>
    </w:lvl>
    <w:lvl w:ilvl="8" w:tplc="0816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" w15:restartNumberingAfterBreak="0">
    <w:nsid w:val="73C76921"/>
    <w:multiLevelType w:val="hybridMultilevel"/>
    <w:tmpl w:val="EEF001AA"/>
    <w:lvl w:ilvl="0" w:tplc="3E140568">
      <w:start w:val="1"/>
      <w:numFmt w:val="decimal"/>
      <w:lvlText w:val="%1."/>
      <w:lvlJc w:val="left"/>
      <w:pPr>
        <w:ind w:left="502" w:hanging="360"/>
      </w:pPr>
      <w:rPr>
        <w:rFonts w:ascii="Trebuchet MS" w:hAnsi="Trebuchet MS" w:cs="Times New Roman" w:hint="default"/>
        <w:b/>
        <w:bCs/>
        <w:sz w:val="2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5406C"/>
    <w:multiLevelType w:val="multilevel"/>
    <w:tmpl w:val="08160025"/>
    <w:lvl w:ilvl="0">
      <w:start w:val="1"/>
      <w:numFmt w:val="decimal"/>
      <w:pStyle w:val="Cabealho1"/>
      <w:lvlText w:val="%1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78"/>
    <w:rsid w:val="002D4B78"/>
    <w:rsid w:val="004658DA"/>
    <w:rsid w:val="00624740"/>
    <w:rsid w:val="008F3AF5"/>
    <w:rsid w:val="00974531"/>
    <w:rsid w:val="009C4D82"/>
    <w:rsid w:val="00F7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1AA3E-38F4-4AFD-A6EE-C3FC61758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B78"/>
    <w:pPr>
      <w:spacing w:after="5" w:line="358" w:lineRule="auto"/>
      <w:ind w:left="382" w:hanging="10"/>
      <w:jc w:val="both"/>
    </w:pPr>
    <w:rPr>
      <w:rFonts w:ascii="Trebuchet MS" w:eastAsia="Trebuchet MS" w:hAnsi="Trebuchet MS" w:cs="Trebuchet MS"/>
      <w:color w:val="000000"/>
      <w:sz w:val="20"/>
      <w:lang w:eastAsia="pt-PT"/>
    </w:rPr>
  </w:style>
  <w:style w:type="paragraph" w:styleId="Cabealho1">
    <w:name w:val="heading 1"/>
    <w:next w:val="Normal"/>
    <w:link w:val="Cabealho1Carter"/>
    <w:uiPriority w:val="9"/>
    <w:unhideWhenUsed/>
    <w:qFormat/>
    <w:rsid w:val="002D4B78"/>
    <w:pPr>
      <w:keepNext/>
      <w:keepLines/>
      <w:numPr>
        <w:numId w:val="6"/>
      </w:numPr>
      <w:spacing w:after="11" w:line="249" w:lineRule="auto"/>
      <w:outlineLvl w:val="0"/>
    </w:pPr>
    <w:rPr>
      <w:rFonts w:ascii="Trebuchet MS" w:eastAsia="Trebuchet MS" w:hAnsi="Trebuchet MS" w:cs="Trebuchet MS"/>
      <w:b/>
      <w:color w:val="000000"/>
      <w:sz w:val="24"/>
      <w:lang w:eastAsia="pt-PT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2D4B78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2D4B78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2D4B78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2D4B78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2D4B78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2D4B78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2D4B78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2D4B78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2D4B78"/>
    <w:rPr>
      <w:rFonts w:ascii="Trebuchet MS" w:eastAsia="Trebuchet MS" w:hAnsi="Trebuchet MS" w:cs="Trebuchet MS"/>
      <w:b/>
      <w:color w:val="000000"/>
      <w:sz w:val="24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2D4B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2D4B7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2D4B78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pt-PT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2D4B78"/>
    <w:rPr>
      <w:rFonts w:asciiTheme="majorHAnsi" w:eastAsiaTheme="majorEastAsia" w:hAnsiTheme="majorHAnsi" w:cstheme="majorBidi"/>
      <w:color w:val="2E74B5" w:themeColor="accent1" w:themeShade="BF"/>
      <w:sz w:val="20"/>
      <w:lang w:eastAsia="pt-PT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2D4B78"/>
    <w:rPr>
      <w:rFonts w:asciiTheme="majorHAnsi" w:eastAsiaTheme="majorEastAsia" w:hAnsiTheme="majorHAnsi" w:cstheme="majorBidi"/>
      <w:color w:val="1F4D78" w:themeColor="accent1" w:themeShade="7F"/>
      <w:sz w:val="20"/>
      <w:lang w:eastAsia="pt-PT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2D4B78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2D4B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PT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2D4B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PT"/>
    </w:rPr>
  </w:style>
  <w:style w:type="paragraph" w:styleId="PargrafodaLista">
    <w:name w:val="List Paragraph"/>
    <w:basedOn w:val="Normal"/>
    <w:link w:val="PargrafodaListaCarter"/>
    <w:uiPriority w:val="34"/>
    <w:qFormat/>
    <w:rsid w:val="002D4B78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2D4B78"/>
    <w:rPr>
      <w:rFonts w:ascii="Trebuchet MS" w:eastAsia="Trebuchet MS" w:hAnsi="Trebuchet MS" w:cs="Trebuchet MS"/>
      <w:color w:val="000000"/>
      <w:sz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658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658DA"/>
    <w:rPr>
      <w:rFonts w:ascii="Trebuchet MS" w:eastAsia="Trebuchet MS" w:hAnsi="Trebuchet MS" w:cs="Trebuchet MS"/>
      <w:color w:val="000000"/>
      <w:sz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4658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658DA"/>
    <w:rPr>
      <w:rFonts w:ascii="Trebuchet MS" w:eastAsia="Trebuchet MS" w:hAnsi="Trebuchet MS" w:cs="Trebuchet MS"/>
      <w:color w:val="000000"/>
      <w:sz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1271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Cortez</dc:creator>
  <cp:keywords/>
  <dc:description/>
  <cp:lastModifiedBy>Rosa Cortez</cp:lastModifiedBy>
  <cp:revision>3</cp:revision>
  <dcterms:created xsi:type="dcterms:W3CDTF">2020-06-29T15:56:00Z</dcterms:created>
  <dcterms:modified xsi:type="dcterms:W3CDTF">2020-06-29T16:03:00Z</dcterms:modified>
</cp:coreProperties>
</file>