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072" w:rsidRPr="007A4072" w:rsidRDefault="007A4072" w:rsidP="007A4072">
      <w:pPr>
        <w:pStyle w:val="Cabealho1"/>
        <w:numPr>
          <w:ilvl w:val="0"/>
          <w:numId w:val="0"/>
        </w:numPr>
        <w:spacing w:after="3"/>
        <w:ind w:left="185" w:firstLine="98"/>
        <w:jc w:val="center"/>
        <w:rPr>
          <w:rFonts w:asciiTheme="majorHAnsi" w:hAnsiTheme="majorHAnsi"/>
          <w:szCs w:val="24"/>
        </w:rPr>
      </w:pPr>
      <w:bookmarkStart w:id="0" w:name="_Toc43812187"/>
      <w:r w:rsidRPr="007A4072">
        <w:rPr>
          <w:rFonts w:asciiTheme="majorHAnsi" w:hAnsiTheme="majorHAnsi"/>
          <w:szCs w:val="24"/>
        </w:rPr>
        <w:t xml:space="preserve">Anexo </w:t>
      </w:r>
      <w:r>
        <w:rPr>
          <w:rFonts w:asciiTheme="majorHAnsi" w:hAnsiTheme="majorHAnsi"/>
          <w:szCs w:val="24"/>
        </w:rPr>
        <w:t>IX</w:t>
      </w:r>
      <w:r w:rsidRPr="007A4072">
        <w:rPr>
          <w:rFonts w:asciiTheme="majorHAnsi" w:hAnsiTheme="majorHAnsi"/>
          <w:szCs w:val="24"/>
        </w:rPr>
        <w:t xml:space="preserve"> – Custos Padrão</w:t>
      </w:r>
      <w:bookmarkEnd w:id="0"/>
    </w:p>
    <w:p w:rsidR="007A4072" w:rsidRPr="007A4072" w:rsidRDefault="007A4072" w:rsidP="007A4072">
      <w:pPr>
        <w:ind w:left="0" w:firstLine="0"/>
        <w:rPr>
          <w:rFonts w:asciiTheme="majorHAnsi" w:hAnsiTheme="majorHAnsi"/>
          <w:sz w:val="22"/>
        </w:rPr>
      </w:pPr>
      <w:bookmarkStart w:id="1" w:name="_GoBack"/>
      <w:bookmarkEnd w:id="1"/>
    </w:p>
    <w:p w:rsidR="007A4072" w:rsidRPr="007A4072" w:rsidRDefault="007A4072" w:rsidP="007A4072">
      <w:pPr>
        <w:ind w:left="0" w:firstLine="0"/>
        <w:rPr>
          <w:rFonts w:asciiTheme="majorHAnsi" w:hAnsiTheme="majorHAnsi"/>
          <w:sz w:val="22"/>
        </w:rPr>
      </w:pPr>
    </w:p>
    <w:p w:rsidR="007A4072" w:rsidRPr="007A4072" w:rsidRDefault="007A407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  <w:r w:rsidRPr="007A4072">
        <w:rPr>
          <w:rFonts w:asciiTheme="majorHAnsi" w:hAnsiTheme="majorHAnsi"/>
          <w:sz w:val="22"/>
        </w:rPr>
        <w:t>Para efeitos de apuramento do investimento elegível máximo identificam-se os seguintes custos máximos de referência por utente:</w:t>
      </w:r>
    </w:p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537"/>
        <w:gridCol w:w="1537"/>
        <w:gridCol w:w="1500"/>
        <w:gridCol w:w="1500"/>
      </w:tblGrid>
      <w:tr w:rsidR="007A4072" w:rsidRPr="007A4072" w:rsidTr="007A7506">
        <w:trPr>
          <w:trHeight w:val="675"/>
        </w:trPr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Respostas Sociais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 xml:space="preserve">Construção civil </w:t>
            </w:r>
            <w:r w:rsidRPr="007A4072">
              <w:rPr>
                <w:rFonts w:asciiTheme="majorHAnsi" w:eastAsia="Times New Roman" w:hAnsiTheme="majorHAnsi" w:cs="Times New Roman"/>
                <w:bCs/>
                <w:color w:val="002060"/>
                <w:sz w:val="22"/>
              </w:rPr>
              <w:t>(Remodelação/</w:t>
            </w:r>
            <w:r w:rsidRPr="007A4072">
              <w:rPr>
                <w:rFonts w:asciiTheme="majorHAnsi" w:eastAsia="Times New Roman" w:hAnsiTheme="majorHAnsi" w:cs="Times New Roman"/>
                <w:bCs/>
                <w:color w:val="002060"/>
                <w:sz w:val="22"/>
              </w:rPr>
              <w:br/>
              <w:t>Reabilitação)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Equipamento móvel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Projetos Técnicos</w:t>
            </w: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br/>
              <w:t xml:space="preserve"> </w:t>
            </w:r>
            <w:r w:rsidRPr="007A4072">
              <w:rPr>
                <w:rFonts w:asciiTheme="majorHAnsi" w:eastAsia="Times New Roman" w:hAnsiTheme="majorHAnsi" w:cs="Times New Roman"/>
                <w:bCs/>
                <w:color w:val="002060"/>
                <w:sz w:val="22"/>
              </w:rPr>
              <w:t>(Indexado ao Custo da Construção Civil)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Fiscalização</w:t>
            </w: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br/>
            </w:r>
            <w:proofErr w:type="gramStart"/>
            <w:r w:rsidRPr="007A4072">
              <w:rPr>
                <w:rFonts w:asciiTheme="majorHAnsi" w:eastAsia="Times New Roman" w:hAnsiTheme="majorHAnsi" w:cs="Times New Roman"/>
                <w:bCs/>
                <w:color w:val="002060"/>
                <w:sz w:val="22"/>
              </w:rPr>
              <w:t>(Indexado</w:t>
            </w:r>
            <w:proofErr w:type="gramEnd"/>
            <w:r w:rsidRPr="007A4072">
              <w:rPr>
                <w:rFonts w:asciiTheme="majorHAnsi" w:eastAsia="Times New Roman" w:hAnsiTheme="majorHAnsi" w:cs="Times New Roman"/>
                <w:bCs/>
                <w:color w:val="002060"/>
                <w:sz w:val="22"/>
              </w:rPr>
              <w:t xml:space="preserve"> ao Custo da Construção Civil)</w:t>
            </w:r>
          </w:p>
        </w:tc>
      </w:tr>
      <w:tr w:rsidR="007A4072" w:rsidRPr="007A4072" w:rsidTr="007A7506">
        <w:trPr>
          <w:trHeight w:val="675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CUSTO/UTENTE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CUSTO/UTENTE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</w:p>
        </w:tc>
      </w:tr>
      <w:tr w:rsidR="007A4072" w:rsidRPr="007A4072" w:rsidTr="007A7506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ERPI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color w:val="002060"/>
                <w:sz w:val="22"/>
              </w:rPr>
              <w:t>15.690 €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color w:val="002060"/>
                <w:sz w:val="22"/>
              </w:rPr>
              <w:t>2.995 €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A4072" w:rsidRPr="007A4072" w:rsidRDefault="007A4072" w:rsidP="007A7506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</w:pPr>
            <w:r w:rsidRPr="007A4072">
              <w:rPr>
                <w:rFonts w:asciiTheme="majorHAnsi" w:eastAsia="Times New Roman" w:hAnsiTheme="majorHAnsi" w:cs="Times New Roman"/>
                <w:b/>
                <w:bCs/>
                <w:color w:val="002060"/>
                <w:sz w:val="22"/>
              </w:rPr>
              <w:t>2%</w:t>
            </w:r>
          </w:p>
        </w:tc>
      </w:tr>
    </w:tbl>
    <w:p w:rsidR="007A4072" w:rsidRDefault="007A407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</w:p>
    <w:p w:rsidR="007A4072" w:rsidRPr="007A4072" w:rsidRDefault="007A407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  <w:r w:rsidRPr="007A4072">
        <w:rPr>
          <w:rFonts w:asciiTheme="majorHAnsi" w:hAnsiTheme="majorHAnsi"/>
          <w:sz w:val="22"/>
        </w:rPr>
        <w:t>Desde que associados à componente da Infraestrutura, consideram-se ainda os seguintes encargos:</w:t>
      </w:r>
    </w:p>
    <w:p w:rsidR="007A4072" w:rsidRPr="007A4072" w:rsidRDefault="007A407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  <w:r w:rsidRPr="007A4072">
        <w:rPr>
          <w:rFonts w:asciiTheme="majorHAnsi" w:hAnsiTheme="majorHAnsi"/>
          <w:sz w:val="22"/>
        </w:rPr>
        <w:t xml:space="preserve"> - Projetos técnicos – o custo máximo considerado, corresponde a 5% do custo máximo de remodelação/reabilitação, por utente, multiplicado pelo n.º de utentes;</w:t>
      </w:r>
    </w:p>
    <w:p w:rsidR="007A4072" w:rsidRPr="007A4072" w:rsidRDefault="007A407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  <w:r w:rsidRPr="007A4072">
        <w:rPr>
          <w:rFonts w:asciiTheme="majorHAnsi" w:hAnsiTheme="majorHAnsi"/>
          <w:sz w:val="22"/>
        </w:rPr>
        <w:t>- Fiscalização – o custo máximo considerado, corresponde a 2% do custo máximo de remodelação/reabilitação, por utente, multiplicado pelo n.º de utentes;</w:t>
      </w:r>
    </w:p>
    <w:p w:rsidR="007A4072" w:rsidRPr="007A4072" w:rsidRDefault="007A407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  <w:r w:rsidRPr="007A4072">
        <w:rPr>
          <w:rFonts w:asciiTheme="majorHAnsi" w:hAnsiTheme="majorHAnsi"/>
          <w:sz w:val="22"/>
        </w:rPr>
        <w:t>Os custos máximos de construção civil fixados, por utente, incluem ainda as despesas relativas aos arranjos exteriores, com equipamento eletromecânico e com equipamento fixo.</w:t>
      </w:r>
    </w:p>
    <w:p w:rsidR="00D73E62" w:rsidRPr="007A4072" w:rsidRDefault="006B74D2" w:rsidP="007A4072">
      <w:pPr>
        <w:spacing w:after="240" w:line="320" w:lineRule="exact"/>
        <w:ind w:left="17" w:right="45" w:hanging="11"/>
        <w:rPr>
          <w:rFonts w:asciiTheme="majorHAnsi" w:hAnsiTheme="majorHAnsi"/>
          <w:sz w:val="22"/>
        </w:rPr>
      </w:pPr>
    </w:p>
    <w:sectPr w:rsidR="00D73E62" w:rsidRPr="007A407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4D2" w:rsidRDefault="006B74D2" w:rsidP="006B74D2">
      <w:pPr>
        <w:spacing w:after="0" w:line="240" w:lineRule="auto"/>
      </w:pPr>
      <w:r>
        <w:separator/>
      </w:r>
    </w:p>
  </w:endnote>
  <w:endnote w:type="continuationSeparator" w:id="0">
    <w:p w:rsidR="006B74D2" w:rsidRDefault="006B74D2" w:rsidP="006B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4D2" w:rsidRDefault="006B74D2" w:rsidP="006B74D2">
      <w:pPr>
        <w:spacing w:after="0" w:line="240" w:lineRule="auto"/>
      </w:pPr>
      <w:r>
        <w:separator/>
      </w:r>
    </w:p>
  </w:footnote>
  <w:footnote w:type="continuationSeparator" w:id="0">
    <w:p w:rsidR="006B74D2" w:rsidRDefault="006B74D2" w:rsidP="006B7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4D2" w:rsidRDefault="006B74D2" w:rsidP="006B74D2">
    <w:pPr>
      <w:pStyle w:val="Cabealho"/>
      <w:ind w:left="0"/>
    </w:pPr>
    <w:r>
      <w:rPr>
        <w:noProof/>
        <w:sz w:val="18"/>
      </w:rPr>
      <w:drawing>
        <wp:inline distT="0" distB="0" distL="0" distR="0" wp14:anchorId="47921635" wp14:editId="4A6ACB6A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74D2" w:rsidRDefault="006B74D2" w:rsidP="006B74D2">
    <w:pPr>
      <w:pStyle w:val="Cabealho"/>
      <w:ind w:left="0"/>
    </w:pPr>
  </w:p>
  <w:p w:rsidR="006B74D2" w:rsidRDefault="006B74D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75406C"/>
    <w:multiLevelType w:val="multilevel"/>
    <w:tmpl w:val="08160025"/>
    <w:lvl w:ilvl="0">
      <w:start w:val="1"/>
      <w:numFmt w:val="decimal"/>
      <w:pStyle w:val="Cabealho1"/>
      <w:lvlText w:val="%1"/>
      <w:lvlJc w:val="left"/>
      <w:pPr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072"/>
    <w:rsid w:val="006B74D2"/>
    <w:rsid w:val="007A4072"/>
    <w:rsid w:val="008F3AF5"/>
    <w:rsid w:val="00974531"/>
    <w:rsid w:val="009C4D82"/>
    <w:rsid w:val="00F7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38014-4DD9-4AC0-A354-376062AF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072"/>
    <w:pPr>
      <w:spacing w:after="5" w:line="358" w:lineRule="auto"/>
      <w:ind w:left="382" w:hanging="10"/>
      <w:jc w:val="both"/>
    </w:pPr>
    <w:rPr>
      <w:rFonts w:ascii="Trebuchet MS" w:eastAsia="Trebuchet MS" w:hAnsi="Trebuchet MS" w:cs="Trebuchet MS"/>
      <w:color w:val="000000"/>
      <w:sz w:val="20"/>
      <w:lang w:eastAsia="pt-PT"/>
    </w:rPr>
  </w:style>
  <w:style w:type="paragraph" w:styleId="Cabealho1">
    <w:name w:val="heading 1"/>
    <w:next w:val="Normal"/>
    <w:link w:val="Cabealho1Carter"/>
    <w:uiPriority w:val="9"/>
    <w:unhideWhenUsed/>
    <w:qFormat/>
    <w:rsid w:val="007A4072"/>
    <w:pPr>
      <w:keepNext/>
      <w:keepLines/>
      <w:numPr>
        <w:numId w:val="1"/>
      </w:numPr>
      <w:spacing w:after="11" w:line="249" w:lineRule="auto"/>
      <w:outlineLvl w:val="0"/>
    </w:pPr>
    <w:rPr>
      <w:rFonts w:ascii="Trebuchet MS" w:eastAsia="Trebuchet MS" w:hAnsi="Trebuchet MS" w:cs="Trebuchet MS"/>
      <w:b/>
      <w:color w:val="000000"/>
      <w:sz w:val="24"/>
      <w:lang w:eastAsia="pt-PT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7A407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7A407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7A407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7A407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7A407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7A407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7A407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7A407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7A4072"/>
    <w:rPr>
      <w:rFonts w:ascii="Trebuchet MS" w:eastAsia="Trebuchet MS" w:hAnsi="Trebuchet MS" w:cs="Trebuchet MS"/>
      <w:b/>
      <w:color w:val="000000"/>
      <w:sz w:val="24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7A40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7A407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7A4072"/>
    <w:rPr>
      <w:rFonts w:asciiTheme="majorHAnsi" w:eastAsiaTheme="majorEastAsia" w:hAnsiTheme="majorHAnsi" w:cstheme="majorBidi"/>
      <w:i/>
      <w:iCs/>
      <w:color w:val="2E74B5" w:themeColor="accent1" w:themeShade="BF"/>
      <w:sz w:val="20"/>
      <w:lang w:eastAsia="pt-PT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7A4072"/>
    <w:rPr>
      <w:rFonts w:asciiTheme="majorHAnsi" w:eastAsiaTheme="majorEastAsia" w:hAnsiTheme="majorHAnsi" w:cstheme="majorBidi"/>
      <w:color w:val="2E74B5" w:themeColor="accent1" w:themeShade="BF"/>
      <w:sz w:val="20"/>
      <w:lang w:eastAsia="pt-PT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7A4072"/>
    <w:rPr>
      <w:rFonts w:asciiTheme="majorHAnsi" w:eastAsiaTheme="majorEastAsia" w:hAnsiTheme="majorHAnsi" w:cstheme="majorBidi"/>
      <w:color w:val="1F4D78" w:themeColor="accent1" w:themeShade="7F"/>
      <w:sz w:val="20"/>
      <w:lang w:eastAsia="pt-PT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7A4072"/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7A407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PT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7A40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A4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A4072"/>
    <w:rPr>
      <w:rFonts w:ascii="Segoe UI" w:eastAsia="Trebuchet MS" w:hAnsi="Segoe UI" w:cs="Segoe UI"/>
      <w:color w:val="000000"/>
      <w:sz w:val="18"/>
      <w:szCs w:val="18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6B74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B74D2"/>
    <w:rPr>
      <w:rFonts w:ascii="Trebuchet MS" w:eastAsia="Trebuchet MS" w:hAnsi="Trebuchet MS" w:cs="Trebuchet MS"/>
      <w:color w:val="000000"/>
      <w:sz w:val="20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6B74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B74D2"/>
    <w:rPr>
      <w:rFonts w:ascii="Trebuchet MS" w:eastAsia="Trebuchet MS" w:hAnsi="Trebuchet MS" w:cs="Trebuchet MS"/>
      <w:color w:val="000000"/>
      <w:sz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Cortez</dc:creator>
  <cp:keywords/>
  <dc:description/>
  <cp:lastModifiedBy>Rosa Cortez</cp:lastModifiedBy>
  <cp:revision>2</cp:revision>
  <dcterms:created xsi:type="dcterms:W3CDTF">2020-06-29T16:07:00Z</dcterms:created>
  <dcterms:modified xsi:type="dcterms:W3CDTF">2020-06-29T16:10:00Z</dcterms:modified>
</cp:coreProperties>
</file>